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08A7B" w14:textId="77777777" w:rsidR="00BB6791" w:rsidRDefault="00571040" w:rsidP="00F83F7D">
      <w:pPr>
        <w:tabs>
          <w:tab w:val="left" w:pos="3588"/>
        </w:tabs>
        <w:jc w:val="right"/>
        <w:rPr>
          <w:sz w:val="24"/>
          <w:szCs w:val="24"/>
          <w:lang w:val="es-ES"/>
        </w:rPr>
      </w:pPr>
      <w:r w:rsidRPr="00571040">
        <w:rPr>
          <w:sz w:val="24"/>
          <w:szCs w:val="24"/>
          <w:lang w:val="es-ES"/>
        </w:rPr>
        <w:br/>
      </w:r>
    </w:p>
    <w:p w14:paraId="714D4DBF" w14:textId="77777777" w:rsidR="0059480E" w:rsidRPr="000625CB" w:rsidRDefault="0059480E" w:rsidP="0059480E">
      <w:pPr>
        <w:pStyle w:val="Cuerpo"/>
        <w:spacing w:after="0" w:line="360" w:lineRule="auto"/>
        <w:jc w:val="both"/>
        <w:rPr>
          <w:rStyle w:val="Ninguno"/>
          <w:rFonts w:ascii="Arial" w:eastAsia="Arial" w:hAnsi="Arial" w:cs="Arial"/>
          <w:b/>
          <w:bCs/>
          <w:sz w:val="24"/>
          <w:szCs w:val="24"/>
        </w:rPr>
      </w:pPr>
      <w:r w:rsidRPr="000625CB">
        <w:rPr>
          <w:rStyle w:val="Ninguno"/>
          <w:rFonts w:ascii="Arial" w:hAnsi="Arial" w:cs="Arial"/>
          <w:b/>
          <w:bCs/>
          <w:sz w:val="24"/>
          <w:szCs w:val="24"/>
        </w:rPr>
        <w:t>H. CONGRESO DEL ESTADO DE YUCATÁN.</w:t>
      </w:r>
    </w:p>
    <w:p w14:paraId="3DAC9A03" w14:textId="77777777" w:rsidR="0059480E" w:rsidRPr="000625CB" w:rsidRDefault="0059480E" w:rsidP="0059480E">
      <w:pPr>
        <w:pStyle w:val="Cuerpo"/>
        <w:spacing w:after="0" w:line="360" w:lineRule="auto"/>
        <w:jc w:val="both"/>
        <w:rPr>
          <w:rStyle w:val="Ninguno"/>
          <w:rFonts w:ascii="Arial" w:eastAsia="Arial" w:hAnsi="Arial" w:cs="Arial"/>
          <w:b/>
          <w:bCs/>
          <w:sz w:val="24"/>
          <w:szCs w:val="24"/>
        </w:rPr>
      </w:pPr>
      <w:r w:rsidRPr="000625CB">
        <w:rPr>
          <w:rStyle w:val="Ninguno"/>
          <w:rFonts w:ascii="Arial" w:hAnsi="Arial" w:cs="Arial"/>
          <w:b/>
          <w:bCs/>
          <w:sz w:val="24"/>
          <w:szCs w:val="24"/>
        </w:rPr>
        <w:t>CIUDADANA PRESIDENTA DE LA MESA DIRECTIVA</w:t>
      </w:r>
    </w:p>
    <w:p w14:paraId="219D4839" w14:textId="77777777" w:rsidR="0059480E" w:rsidRPr="000625CB" w:rsidRDefault="0059480E" w:rsidP="0059480E">
      <w:pPr>
        <w:pStyle w:val="Cuerpo"/>
        <w:spacing w:after="0" w:line="360" w:lineRule="auto"/>
        <w:jc w:val="both"/>
        <w:rPr>
          <w:rStyle w:val="Ninguno"/>
          <w:rFonts w:ascii="Arial" w:eastAsia="Arial" w:hAnsi="Arial" w:cs="Arial"/>
          <w:b/>
          <w:bCs/>
          <w:sz w:val="24"/>
          <w:szCs w:val="24"/>
        </w:rPr>
      </w:pPr>
    </w:p>
    <w:p w14:paraId="29E87219" w14:textId="77777777" w:rsidR="0059480E" w:rsidRPr="000625CB" w:rsidRDefault="0059480E" w:rsidP="0059480E">
      <w:pPr>
        <w:pStyle w:val="Cuerpo"/>
        <w:spacing w:after="0" w:line="360" w:lineRule="auto"/>
        <w:jc w:val="both"/>
        <w:rPr>
          <w:rStyle w:val="Ninguno"/>
          <w:rFonts w:ascii="Arial" w:eastAsia="Arial" w:hAnsi="Arial" w:cs="Arial"/>
          <w:b/>
          <w:bCs/>
          <w:sz w:val="24"/>
          <w:szCs w:val="24"/>
        </w:rPr>
      </w:pPr>
    </w:p>
    <w:p w14:paraId="556DF62F" w14:textId="53A6E629" w:rsidR="0059480E" w:rsidRPr="000625CB" w:rsidRDefault="00B1135C" w:rsidP="0059480E">
      <w:pPr>
        <w:pStyle w:val="Cuerpo"/>
        <w:spacing w:before="100" w:after="0" w:line="360" w:lineRule="auto"/>
        <w:jc w:val="both"/>
        <w:rPr>
          <w:rStyle w:val="Ninguno"/>
          <w:rFonts w:ascii="Arial" w:hAnsi="Arial" w:cs="Arial"/>
          <w:b/>
          <w:bCs/>
          <w:sz w:val="24"/>
          <w:szCs w:val="24"/>
        </w:rPr>
      </w:pPr>
      <w:r>
        <w:rPr>
          <w:rStyle w:val="Ninguno"/>
          <w:rFonts w:ascii="Arial" w:hAnsi="Arial" w:cs="Arial"/>
          <w:b/>
          <w:bCs/>
          <w:sz w:val="24"/>
          <w:szCs w:val="24"/>
        </w:rPr>
        <w:t>El</w:t>
      </w:r>
      <w:r w:rsidR="0059480E" w:rsidRPr="000625CB">
        <w:rPr>
          <w:rStyle w:val="Ninguno"/>
          <w:rFonts w:ascii="Arial" w:hAnsi="Arial" w:cs="Arial"/>
          <w:b/>
          <w:bCs/>
          <w:sz w:val="24"/>
          <w:szCs w:val="24"/>
        </w:rPr>
        <w:t xml:space="preserve"> suscrito Diputado integrante de la fracción legislativa del Partido MORENA</w:t>
      </w:r>
      <w:r w:rsidR="0073597D" w:rsidRPr="000625CB">
        <w:rPr>
          <w:rStyle w:val="Ninguno"/>
          <w:rFonts w:ascii="Arial" w:hAnsi="Arial" w:cs="Arial"/>
          <w:b/>
          <w:bCs/>
          <w:sz w:val="24"/>
          <w:szCs w:val="24"/>
        </w:rPr>
        <w:t xml:space="preserve">, </w:t>
      </w:r>
      <w:r w:rsidR="0059480E" w:rsidRPr="000625CB">
        <w:rPr>
          <w:rStyle w:val="Ninguno"/>
          <w:rFonts w:ascii="Arial" w:hAnsi="Arial" w:cs="Arial"/>
          <w:b/>
          <w:bCs/>
          <w:sz w:val="24"/>
          <w:szCs w:val="24"/>
        </w:rPr>
        <w:t xml:space="preserve">de la LXIV legislatura del Estado de Yucatán, </w:t>
      </w:r>
      <w:r w:rsidR="0059480E" w:rsidRPr="000625CB">
        <w:rPr>
          <w:rStyle w:val="Ninguno"/>
          <w:rFonts w:ascii="Arial" w:hAnsi="Arial" w:cs="Arial"/>
          <w:sz w:val="24"/>
          <w:szCs w:val="24"/>
        </w:rPr>
        <w:t xml:space="preserve">con fundamento en los artículos 35 fracción I de la Constitución Política del Estado de Yucatán, 16 y 22 de la Ley de Gobierno del Poder Legislativo; 68 y 69 de su propio reglamento, ambos del Estado de Yucatán, </w:t>
      </w:r>
      <w:r w:rsidR="0073597D" w:rsidRPr="000625CB">
        <w:rPr>
          <w:rStyle w:val="Ninguno"/>
          <w:rFonts w:ascii="Arial" w:hAnsi="Arial" w:cs="Arial"/>
          <w:sz w:val="24"/>
          <w:szCs w:val="24"/>
        </w:rPr>
        <w:t xml:space="preserve">nos </w:t>
      </w:r>
      <w:r w:rsidR="0059480E" w:rsidRPr="000625CB">
        <w:rPr>
          <w:rStyle w:val="Ninguno"/>
          <w:rFonts w:ascii="Arial" w:hAnsi="Arial" w:cs="Arial"/>
          <w:sz w:val="24"/>
          <w:szCs w:val="24"/>
        </w:rPr>
        <w:t>permit</w:t>
      </w:r>
      <w:r w:rsidR="0073597D" w:rsidRPr="000625CB">
        <w:rPr>
          <w:rStyle w:val="Ninguno"/>
          <w:rFonts w:ascii="Arial" w:hAnsi="Arial" w:cs="Arial"/>
          <w:sz w:val="24"/>
          <w:szCs w:val="24"/>
        </w:rPr>
        <w:t>imos</w:t>
      </w:r>
      <w:r w:rsidR="0059480E" w:rsidRPr="000625CB">
        <w:rPr>
          <w:rStyle w:val="Ninguno"/>
          <w:rFonts w:ascii="Arial" w:hAnsi="Arial" w:cs="Arial"/>
          <w:sz w:val="24"/>
          <w:szCs w:val="24"/>
        </w:rPr>
        <w:t xml:space="preserve"> presentar ante esta asamblea la siguiente:</w:t>
      </w:r>
      <w:r w:rsidR="0059480E" w:rsidRPr="000625CB">
        <w:rPr>
          <w:rStyle w:val="Ninguno"/>
          <w:rFonts w:ascii="Arial" w:hAnsi="Arial" w:cs="Arial"/>
          <w:b/>
          <w:bCs/>
          <w:sz w:val="24"/>
          <w:szCs w:val="24"/>
        </w:rPr>
        <w:t xml:space="preserve"> </w:t>
      </w:r>
      <w:r w:rsidR="0059480E" w:rsidRPr="00622B67">
        <w:rPr>
          <w:rStyle w:val="Ninguno"/>
          <w:rFonts w:ascii="Arial" w:hAnsi="Arial" w:cs="Arial"/>
          <w:b/>
          <w:bCs/>
          <w:sz w:val="24"/>
          <w:szCs w:val="24"/>
        </w:rPr>
        <w:t>I</w:t>
      </w:r>
      <w:r w:rsidR="00D24203" w:rsidRPr="00622B67">
        <w:rPr>
          <w:rStyle w:val="Ninguno"/>
          <w:rFonts w:ascii="Arial" w:hAnsi="Arial" w:cs="Arial"/>
          <w:b/>
          <w:bCs/>
          <w:sz w:val="24"/>
          <w:szCs w:val="24"/>
        </w:rPr>
        <w:t>NICIATIVA</w:t>
      </w:r>
      <w:r w:rsidR="00622B67" w:rsidRPr="00622B67">
        <w:rPr>
          <w:rFonts w:ascii="Arial" w:hAnsi="Arial" w:cs="Arial"/>
          <w:b/>
          <w:bCs/>
          <w:sz w:val="24"/>
          <w:szCs w:val="24"/>
        </w:rPr>
        <w:t xml:space="preserve"> CON PROYECTO DE DECRETO POR EL QUE SE REFORMA EL ARTÍCULO 425 DEL CÓDIGO DE FAMILIA PARA EL ESTADO DE YUCATÁN Y EL ARTÍCULO 3 DE LA LEY PARA LA PROTECCIÓN DE LOS DERECHOS DE LOS ADULTOS MAYORES DEL ESTADO DE YUCATÁN EN MATERIA DE CAPACIDAD DE DECISIÓN</w:t>
      </w:r>
      <w:r w:rsidR="0059480E" w:rsidRPr="000625CB">
        <w:rPr>
          <w:rStyle w:val="Ninguno"/>
          <w:rFonts w:ascii="Arial" w:hAnsi="Arial" w:cs="Arial"/>
          <w:b/>
          <w:bCs/>
          <w:sz w:val="24"/>
          <w:szCs w:val="24"/>
        </w:rPr>
        <w:t xml:space="preserve">, </w:t>
      </w:r>
      <w:r w:rsidR="00EA27CB">
        <w:rPr>
          <w:rStyle w:val="Ninguno"/>
          <w:rFonts w:ascii="Arial" w:hAnsi="Arial" w:cs="Arial"/>
          <w:b/>
          <w:bCs/>
          <w:sz w:val="24"/>
          <w:szCs w:val="24"/>
        </w:rPr>
        <w:t xml:space="preserve">(TUTELA), </w:t>
      </w:r>
      <w:r w:rsidR="0059480E" w:rsidRPr="000C3F0B">
        <w:rPr>
          <w:rStyle w:val="Ninguno"/>
          <w:rFonts w:ascii="Arial" w:hAnsi="Arial" w:cs="Arial"/>
          <w:sz w:val="24"/>
          <w:szCs w:val="24"/>
        </w:rPr>
        <w:t>atento a la siguiente</w:t>
      </w:r>
      <w:r w:rsidR="0059480E" w:rsidRPr="000625CB">
        <w:rPr>
          <w:rStyle w:val="Ninguno"/>
          <w:rFonts w:ascii="Arial" w:hAnsi="Arial" w:cs="Arial"/>
          <w:b/>
          <w:bCs/>
          <w:sz w:val="24"/>
          <w:szCs w:val="24"/>
        </w:rPr>
        <w:t>:</w:t>
      </w:r>
    </w:p>
    <w:p w14:paraId="768A3F63" w14:textId="77777777" w:rsidR="00D86525" w:rsidRPr="000625CB" w:rsidRDefault="00D86525" w:rsidP="00D86525">
      <w:pPr>
        <w:pStyle w:val="Cuerpo"/>
        <w:spacing w:before="100" w:after="0" w:line="360" w:lineRule="auto"/>
        <w:jc w:val="center"/>
        <w:rPr>
          <w:rStyle w:val="Ninguno"/>
          <w:rFonts w:ascii="Arial" w:hAnsi="Arial" w:cs="Arial"/>
          <w:b/>
          <w:bCs/>
          <w:sz w:val="24"/>
          <w:szCs w:val="24"/>
        </w:rPr>
      </w:pPr>
      <w:r w:rsidRPr="000625CB">
        <w:rPr>
          <w:rStyle w:val="Ninguno"/>
          <w:rFonts w:ascii="Arial" w:hAnsi="Arial" w:cs="Arial"/>
          <w:b/>
          <w:bCs/>
          <w:sz w:val="24"/>
          <w:szCs w:val="24"/>
        </w:rPr>
        <w:t xml:space="preserve">EXPOSICIÓN DE MOTIVOS </w:t>
      </w:r>
    </w:p>
    <w:p w14:paraId="30AEC2C2" w14:textId="77777777" w:rsidR="00A26785" w:rsidRPr="007E19E3" w:rsidRDefault="007E19E3" w:rsidP="00A252B4">
      <w:pPr>
        <w:pStyle w:val="Cuerpo"/>
        <w:spacing w:before="100" w:after="0" w:line="360" w:lineRule="auto"/>
        <w:jc w:val="both"/>
        <w:rPr>
          <w:rFonts w:ascii="Arial" w:hAnsi="Arial" w:cs="Arial"/>
          <w:sz w:val="24"/>
          <w:szCs w:val="24"/>
          <w:u w:val="single"/>
          <w:lang w:val="es-ES"/>
        </w:rPr>
      </w:pPr>
      <w:r w:rsidRPr="006A4732">
        <w:rPr>
          <w:rFonts w:ascii="Arial" w:hAnsi="Arial" w:cs="Arial"/>
          <w:b/>
          <w:bCs/>
          <w:sz w:val="24"/>
          <w:szCs w:val="24"/>
          <w:u w:val="single"/>
          <w:lang w:val="es-ES"/>
        </w:rPr>
        <w:t>Marco Internacional</w:t>
      </w:r>
      <w:r w:rsidRPr="007E19E3">
        <w:rPr>
          <w:rFonts w:ascii="Arial" w:hAnsi="Arial" w:cs="Arial"/>
          <w:sz w:val="24"/>
          <w:szCs w:val="24"/>
          <w:u w:val="single"/>
          <w:lang w:val="es-ES"/>
        </w:rPr>
        <w:t xml:space="preserve">. </w:t>
      </w:r>
    </w:p>
    <w:p w14:paraId="3B7267D1" w14:textId="77777777" w:rsidR="00BC4F2A" w:rsidRDefault="00BC4F2A" w:rsidP="00A27F08">
      <w:pPr>
        <w:pStyle w:val="Cuerpo"/>
        <w:spacing w:before="100" w:after="0" w:line="360" w:lineRule="auto"/>
        <w:jc w:val="both"/>
        <w:rPr>
          <w:rFonts w:ascii="Arial" w:hAnsi="Arial" w:cs="Arial"/>
          <w:sz w:val="24"/>
          <w:szCs w:val="24"/>
        </w:rPr>
      </w:pPr>
      <w:r>
        <w:rPr>
          <w:rFonts w:ascii="Arial" w:hAnsi="Arial" w:cs="Arial"/>
          <w:sz w:val="24"/>
          <w:szCs w:val="24"/>
        </w:rPr>
        <w:t>L</w:t>
      </w:r>
      <w:r w:rsidRPr="00BC4F2A">
        <w:rPr>
          <w:rFonts w:ascii="Arial" w:hAnsi="Arial" w:cs="Arial"/>
          <w:sz w:val="24"/>
          <w:szCs w:val="24"/>
        </w:rPr>
        <w:t>a persona mayor tiene los mismos derechos humanos y libertades fundamentales que otras personas, y que estos derechos, incluido el de no verse sometida a discriminación fundada en la edad ni a ningún tipo de violencia, dimanan de la dignidad y la igualdad que son inherentes a todo ser humano</w:t>
      </w:r>
      <w:r w:rsidR="008D7139">
        <w:rPr>
          <w:rFonts w:ascii="Arial" w:hAnsi="Arial" w:cs="Arial"/>
          <w:sz w:val="24"/>
          <w:szCs w:val="24"/>
        </w:rPr>
        <w:t xml:space="preserve">; </w:t>
      </w:r>
      <w:r w:rsidR="008D7139" w:rsidRPr="008D7139">
        <w:rPr>
          <w:rFonts w:ascii="Arial" w:hAnsi="Arial" w:cs="Arial"/>
          <w:sz w:val="24"/>
          <w:szCs w:val="24"/>
        </w:rPr>
        <w:t>la persona, a medida que envejece, debe seguir disfrutando de una vida plena, independiente y autónoma, con salud, seguridad, integración y participación activa en las esferas económica, social, cultural y política de sus sociedades</w:t>
      </w:r>
      <w:r w:rsidR="00F002B6">
        <w:rPr>
          <w:rFonts w:ascii="Arial" w:hAnsi="Arial" w:cs="Arial"/>
          <w:sz w:val="24"/>
          <w:szCs w:val="24"/>
        </w:rPr>
        <w:t xml:space="preserve">. </w:t>
      </w:r>
    </w:p>
    <w:p w14:paraId="2F058083" w14:textId="77777777" w:rsidR="00F002B6" w:rsidRDefault="009E7472" w:rsidP="00A27F08">
      <w:pPr>
        <w:pStyle w:val="Cuerpo"/>
        <w:spacing w:before="100" w:after="0" w:line="360" w:lineRule="auto"/>
        <w:jc w:val="both"/>
        <w:rPr>
          <w:rFonts w:ascii="Arial" w:hAnsi="Arial" w:cs="Arial"/>
          <w:sz w:val="24"/>
          <w:szCs w:val="24"/>
        </w:rPr>
      </w:pPr>
      <w:r>
        <w:rPr>
          <w:rFonts w:ascii="Arial" w:hAnsi="Arial" w:cs="Arial"/>
          <w:sz w:val="24"/>
          <w:szCs w:val="24"/>
        </w:rPr>
        <w:t xml:space="preserve">Podemos tomar como marco internacional </w:t>
      </w:r>
      <w:r w:rsidRPr="009E7472">
        <w:rPr>
          <w:rFonts w:ascii="Arial" w:hAnsi="Arial" w:cs="Arial"/>
          <w:sz w:val="24"/>
          <w:szCs w:val="24"/>
        </w:rPr>
        <w:t xml:space="preserve">lo establecido en los Principios de las Naciones Unidas en favor de las Personas de Edad (1991); la Proclamación sobre </w:t>
      </w:r>
      <w:r w:rsidRPr="009E7472">
        <w:rPr>
          <w:rFonts w:ascii="Arial" w:hAnsi="Arial" w:cs="Arial"/>
          <w:sz w:val="24"/>
          <w:szCs w:val="24"/>
        </w:rPr>
        <w:lastRenderedPageBreak/>
        <w:t>el Envejecimiento (1992); la Declaración Política y el Plan de Acción Internacional de Madrid sobre el Envejecimiento (2002), así como los instrumentos regionales tales como la Estrategia Regional de implementación para América Latina y el Caribe del Plan de Acción Internacional de Madrid sobre el Envejecimiento (2003); la Declaración de Brasilia (2007), el Plan de Acción de la Organización Panamericana de la Salud sobre la salud de las personas mayores, incluido el envejecimiento activo y saludable (2009), la Declaración de Compromiso de Puerto España (2009) y la Carta de San José sobre los derechos de las personas mayores de América Latina y el Caribe (2012)</w:t>
      </w:r>
      <w:r w:rsidR="00624A51">
        <w:rPr>
          <w:rFonts w:ascii="Arial" w:hAnsi="Arial" w:cs="Arial"/>
          <w:sz w:val="24"/>
          <w:szCs w:val="24"/>
        </w:rPr>
        <w:t xml:space="preserve">, </w:t>
      </w:r>
      <w:r w:rsidR="00624A51">
        <w:rPr>
          <w:rFonts w:ascii="Arial" w:hAnsi="Arial" w:cs="Arial"/>
          <w:sz w:val="24"/>
          <w:szCs w:val="24"/>
          <w:lang w:val="es-ES"/>
        </w:rPr>
        <w:t>L</w:t>
      </w:r>
      <w:r w:rsidR="00624A51" w:rsidRPr="0072285E">
        <w:rPr>
          <w:rFonts w:ascii="Arial" w:hAnsi="Arial" w:cs="Arial"/>
          <w:sz w:val="24"/>
          <w:szCs w:val="24"/>
          <w:lang w:val="es-ES"/>
        </w:rPr>
        <w:t>a Convención Interamericana sobre la Protección de los Derechos Humanos de las Personas Mayores</w:t>
      </w:r>
      <w:r w:rsidR="00624A51">
        <w:rPr>
          <w:rFonts w:ascii="Arial" w:hAnsi="Arial" w:cs="Arial"/>
          <w:sz w:val="24"/>
          <w:szCs w:val="24"/>
          <w:lang w:val="es-ES"/>
        </w:rPr>
        <w:t xml:space="preserve"> (2015). </w:t>
      </w:r>
    </w:p>
    <w:p w14:paraId="011FF54A" w14:textId="77777777" w:rsidR="00E12BA7" w:rsidRDefault="00AE6293" w:rsidP="00A27F08">
      <w:pPr>
        <w:pStyle w:val="Cuerpo"/>
        <w:spacing w:before="100" w:after="0" w:line="360" w:lineRule="auto"/>
        <w:jc w:val="both"/>
        <w:rPr>
          <w:rFonts w:ascii="Arial" w:hAnsi="Arial" w:cs="Arial"/>
          <w:sz w:val="24"/>
          <w:szCs w:val="24"/>
        </w:rPr>
      </w:pPr>
      <w:r w:rsidRPr="00AE6293">
        <w:rPr>
          <w:rFonts w:ascii="Arial" w:hAnsi="Arial" w:cs="Arial"/>
          <w:sz w:val="24"/>
          <w:szCs w:val="24"/>
        </w:rPr>
        <w:t>El grupo de las personas de edad es tan heterogéneo y variado como el resto de la población y depende de la situación económica y social del país, de factores demográficos, medioambientales, culturales y laborales y, del nivel individual, de la situación familiar, del grado de estudios, del medio urbano o rural y de la profesión de los trabajadores y de los jubilados</w:t>
      </w:r>
    </w:p>
    <w:p w14:paraId="4211C73D" w14:textId="77777777" w:rsidR="00203E82" w:rsidRDefault="00624A51" w:rsidP="007E19E3">
      <w:pPr>
        <w:pStyle w:val="Cuerpo"/>
        <w:spacing w:before="100" w:after="0" w:line="360" w:lineRule="auto"/>
        <w:jc w:val="both"/>
        <w:rPr>
          <w:rFonts w:ascii="Arial" w:hAnsi="Arial" w:cs="Arial"/>
          <w:sz w:val="24"/>
          <w:szCs w:val="24"/>
          <w:u w:val="single"/>
          <w:lang w:val="es-ES"/>
        </w:rPr>
      </w:pPr>
      <w:r>
        <w:rPr>
          <w:rFonts w:ascii="Arial" w:hAnsi="Arial" w:cs="Arial"/>
          <w:b/>
          <w:bCs/>
          <w:sz w:val="24"/>
          <w:szCs w:val="24"/>
          <w:u w:val="single"/>
          <w:lang w:val="es-ES"/>
        </w:rPr>
        <w:t>S</w:t>
      </w:r>
      <w:r w:rsidR="007E19E3" w:rsidRPr="00624A51">
        <w:rPr>
          <w:rFonts w:ascii="Arial" w:hAnsi="Arial" w:cs="Arial"/>
          <w:b/>
          <w:bCs/>
          <w:sz w:val="24"/>
          <w:szCs w:val="24"/>
          <w:u w:val="single"/>
          <w:lang w:val="es-ES"/>
        </w:rPr>
        <w:t>ociedad Mexicana</w:t>
      </w:r>
      <w:r w:rsidR="007E19E3" w:rsidRPr="007E19E3">
        <w:rPr>
          <w:rFonts w:ascii="Arial" w:hAnsi="Arial" w:cs="Arial"/>
          <w:sz w:val="24"/>
          <w:szCs w:val="24"/>
          <w:u w:val="single"/>
          <w:lang w:val="es-ES"/>
        </w:rPr>
        <w:t xml:space="preserve">. </w:t>
      </w:r>
    </w:p>
    <w:p w14:paraId="3F154135" w14:textId="77777777" w:rsidR="007E19E3" w:rsidRPr="007E19E3" w:rsidRDefault="007E19E3" w:rsidP="007E19E3">
      <w:pPr>
        <w:pStyle w:val="Cuerpo"/>
        <w:spacing w:before="100" w:after="0" w:line="360" w:lineRule="auto"/>
        <w:jc w:val="both"/>
        <w:rPr>
          <w:rFonts w:ascii="Arial" w:hAnsi="Arial" w:cs="Arial"/>
          <w:sz w:val="24"/>
          <w:szCs w:val="24"/>
          <w:u w:val="single"/>
          <w:lang w:val="es-ES"/>
        </w:rPr>
      </w:pPr>
    </w:p>
    <w:p w14:paraId="2D736F96" w14:textId="77777777" w:rsidR="00321394" w:rsidRPr="00203E82" w:rsidRDefault="00203E82" w:rsidP="00203E82">
      <w:pPr>
        <w:pStyle w:val="Cuerpo"/>
        <w:spacing w:after="0" w:line="360" w:lineRule="auto"/>
        <w:jc w:val="both"/>
        <w:rPr>
          <w:rFonts w:ascii="Arial" w:hAnsi="Arial" w:cs="Arial"/>
          <w:sz w:val="24"/>
          <w:szCs w:val="24"/>
          <w:lang w:val="es-ES"/>
        </w:rPr>
      </w:pPr>
      <w:r w:rsidRPr="00203E82">
        <w:rPr>
          <w:rFonts w:ascii="Arial" w:hAnsi="Arial" w:cs="Arial"/>
          <w:sz w:val="24"/>
          <w:szCs w:val="24"/>
          <w:lang w:val="es-ES"/>
        </w:rPr>
        <w:t>México se encuentra inserto en un proceso de envejecimiento de su población, expresado por un aumento en la proporción de personas de 60 años o más y la disminución de la población infantil y joven, y este fenómeno demográfico se intensificará en los próximos años, señala un estudio de la Dirección General de Análisis Legislativo del Instituto Belisario Domínguez.</w:t>
      </w:r>
      <w:r w:rsidR="00321394">
        <w:rPr>
          <w:rFonts w:ascii="Arial" w:hAnsi="Arial" w:cs="Arial"/>
          <w:sz w:val="24"/>
          <w:szCs w:val="24"/>
          <w:lang w:val="es-ES"/>
        </w:rPr>
        <w:t xml:space="preserve"> </w:t>
      </w:r>
    </w:p>
    <w:p w14:paraId="408CA575" w14:textId="77777777" w:rsidR="00203E82" w:rsidRPr="00203E82" w:rsidRDefault="00203E82" w:rsidP="00203E82">
      <w:pPr>
        <w:pStyle w:val="Cuerpo"/>
        <w:spacing w:after="0" w:line="360" w:lineRule="auto"/>
        <w:jc w:val="both"/>
        <w:rPr>
          <w:rFonts w:ascii="Arial" w:hAnsi="Arial" w:cs="Arial"/>
          <w:sz w:val="24"/>
          <w:szCs w:val="24"/>
          <w:lang w:val="es-ES"/>
        </w:rPr>
      </w:pPr>
      <w:r w:rsidRPr="00203E82">
        <w:rPr>
          <w:rFonts w:ascii="Arial" w:hAnsi="Arial" w:cs="Arial"/>
          <w:sz w:val="24"/>
          <w:szCs w:val="24"/>
          <w:lang w:val="es-ES"/>
        </w:rPr>
        <w:t xml:space="preserve">La investigación titulada “Las personas mayores a través de los datos censales de 2020” elaborada por la investigadora Irma </w:t>
      </w:r>
      <w:proofErr w:type="spellStart"/>
      <w:r w:rsidRPr="00203E82">
        <w:rPr>
          <w:rFonts w:ascii="Arial" w:hAnsi="Arial" w:cs="Arial"/>
          <w:sz w:val="24"/>
          <w:szCs w:val="24"/>
          <w:lang w:val="es-ES"/>
        </w:rPr>
        <w:t>Kánter</w:t>
      </w:r>
      <w:proofErr w:type="spellEnd"/>
      <w:r w:rsidRPr="00203E82">
        <w:rPr>
          <w:rFonts w:ascii="Arial" w:hAnsi="Arial" w:cs="Arial"/>
          <w:sz w:val="24"/>
          <w:szCs w:val="24"/>
          <w:lang w:val="es-ES"/>
        </w:rPr>
        <w:t xml:space="preserve"> </w:t>
      </w:r>
      <w:proofErr w:type="gramStart"/>
      <w:r w:rsidRPr="00203E82">
        <w:rPr>
          <w:rFonts w:ascii="Arial" w:hAnsi="Arial" w:cs="Arial"/>
          <w:sz w:val="24"/>
          <w:szCs w:val="24"/>
          <w:lang w:val="es-ES"/>
        </w:rPr>
        <w:t>Coronel</w:t>
      </w:r>
      <w:proofErr w:type="gramEnd"/>
      <w:r w:rsidRPr="00203E82">
        <w:rPr>
          <w:rFonts w:ascii="Arial" w:hAnsi="Arial" w:cs="Arial"/>
          <w:sz w:val="24"/>
          <w:szCs w:val="24"/>
          <w:lang w:val="es-ES"/>
        </w:rPr>
        <w:t xml:space="preserve"> refiere que, de acuerdo con el último censo del INEGI del 2020, en México la población de 60 o más años asciende a 15.1 millones, (12% de la población) y equivale a la población total conjunta de Costa Rica, El Salvador y Uruguay.</w:t>
      </w:r>
    </w:p>
    <w:p w14:paraId="6EB45CC8" w14:textId="77777777" w:rsidR="0072285E" w:rsidRPr="0072285E" w:rsidRDefault="0072285E" w:rsidP="0072285E">
      <w:pPr>
        <w:pStyle w:val="Cuerpo"/>
        <w:spacing w:after="0" w:line="360" w:lineRule="auto"/>
        <w:jc w:val="both"/>
        <w:rPr>
          <w:rFonts w:ascii="Arial" w:hAnsi="Arial" w:cs="Arial"/>
          <w:sz w:val="24"/>
          <w:szCs w:val="24"/>
          <w:lang w:val="es-ES"/>
        </w:rPr>
      </w:pPr>
      <w:r w:rsidRPr="0072285E">
        <w:rPr>
          <w:rFonts w:ascii="Arial" w:hAnsi="Arial" w:cs="Arial"/>
          <w:sz w:val="24"/>
          <w:szCs w:val="24"/>
          <w:lang w:val="es-ES"/>
        </w:rPr>
        <w:lastRenderedPageBreak/>
        <w:t>El documento del Instituto destaca que, de acuerdo con algunas estimaciones, se prevé que en 2030 las personas adultas mayores representarán</w:t>
      </w:r>
      <w:r w:rsidR="003F17B2">
        <w:rPr>
          <w:rFonts w:ascii="Arial" w:hAnsi="Arial" w:cs="Arial"/>
          <w:sz w:val="24"/>
          <w:szCs w:val="24"/>
          <w:lang w:val="es-ES"/>
        </w:rPr>
        <w:t xml:space="preserve"> </w:t>
      </w:r>
      <w:r w:rsidRPr="0072285E">
        <w:rPr>
          <w:rFonts w:ascii="Arial" w:hAnsi="Arial" w:cs="Arial"/>
          <w:sz w:val="24"/>
          <w:szCs w:val="24"/>
          <w:lang w:val="es-ES"/>
        </w:rPr>
        <w:t>el</w:t>
      </w:r>
      <w:r w:rsidR="003F17B2">
        <w:rPr>
          <w:rFonts w:ascii="Arial" w:hAnsi="Arial" w:cs="Arial"/>
          <w:sz w:val="24"/>
          <w:szCs w:val="24"/>
          <w:lang w:val="es-ES"/>
        </w:rPr>
        <w:t xml:space="preserve"> </w:t>
      </w:r>
      <w:r w:rsidRPr="0072285E">
        <w:rPr>
          <w:rFonts w:ascii="Arial" w:hAnsi="Arial" w:cs="Arial"/>
          <w:sz w:val="24"/>
          <w:szCs w:val="24"/>
          <w:lang w:val="es-ES"/>
        </w:rPr>
        <w:t>15% de la población y alrededor de 23% en 2050.</w:t>
      </w:r>
    </w:p>
    <w:p w14:paraId="18585859" w14:textId="77777777" w:rsidR="0072285E" w:rsidRDefault="0072285E" w:rsidP="0072285E">
      <w:pPr>
        <w:pStyle w:val="Cuerpo"/>
        <w:spacing w:after="0" w:line="360" w:lineRule="auto"/>
        <w:jc w:val="both"/>
        <w:rPr>
          <w:rFonts w:ascii="Arial" w:hAnsi="Arial" w:cs="Arial"/>
          <w:sz w:val="24"/>
          <w:szCs w:val="24"/>
          <w:lang w:val="es-ES"/>
        </w:rPr>
      </w:pPr>
      <w:r w:rsidRPr="0072285E">
        <w:rPr>
          <w:rFonts w:ascii="Arial" w:hAnsi="Arial" w:cs="Arial"/>
          <w:sz w:val="24"/>
          <w:szCs w:val="24"/>
          <w:lang w:val="es-ES"/>
        </w:rPr>
        <w:t xml:space="preserve">Ante este panorama, el estudio sostiene que México requiere prepararse para una cambiante realidad demográfica que implica múltiples desafíos, exige nuevas acciones y un cambio de actitud, de políticas y prácticas para mejorar la calidad de vida de las personas mayores. </w:t>
      </w:r>
    </w:p>
    <w:p w14:paraId="10421332" w14:textId="77777777" w:rsidR="0029591E" w:rsidRPr="0072285E" w:rsidRDefault="0029591E" w:rsidP="0072285E">
      <w:pPr>
        <w:pStyle w:val="Cuerpo"/>
        <w:spacing w:after="0" w:line="360" w:lineRule="auto"/>
        <w:jc w:val="both"/>
        <w:rPr>
          <w:rFonts w:ascii="Arial" w:hAnsi="Arial" w:cs="Arial"/>
          <w:sz w:val="24"/>
          <w:szCs w:val="24"/>
          <w:lang w:val="es-ES"/>
        </w:rPr>
      </w:pPr>
    </w:p>
    <w:p w14:paraId="51E715DE" w14:textId="77777777" w:rsidR="0072285E" w:rsidRPr="0072285E" w:rsidRDefault="00F13963" w:rsidP="0072285E">
      <w:pPr>
        <w:pStyle w:val="Cuerpo"/>
        <w:spacing w:after="0" w:line="360" w:lineRule="auto"/>
        <w:jc w:val="both"/>
        <w:rPr>
          <w:rFonts w:ascii="Arial" w:hAnsi="Arial" w:cs="Arial"/>
          <w:sz w:val="24"/>
          <w:szCs w:val="24"/>
          <w:lang w:val="es-ES"/>
        </w:rPr>
      </w:pPr>
      <w:r>
        <w:rPr>
          <w:rFonts w:ascii="Arial" w:hAnsi="Arial" w:cs="Arial"/>
          <w:sz w:val="24"/>
          <w:szCs w:val="24"/>
          <w:lang w:val="es-ES"/>
        </w:rPr>
        <w:t>L</w:t>
      </w:r>
      <w:r w:rsidR="0072285E" w:rsidRPr="0072285E">
        <w:rPr>
          <w:rFonts w:ascii="Arial" w:hAnsi="Arial" w:cs="Arial"/>
          <w:sz w:val="24"/>
          <w:szCs w:val="24"/>
          <w:lang w:val="es-ES"/>
        </w:rPr>
        <w:t xml:space="preserve">a Convención Interamericana sobre la Protección de los Derechos Humanos de las Personas Mayores, </w:t>
      </w:r>
      <w:r w:rsidR="006D3A55">
        <w:rPr>
          <w:rFonts w:ascii="Arial" w:hAnsi="Arial" w:cs="Arial"/>
          <w:sz w:val="24"/>
          <w:szCs w:val="24"/>
          <w:lang w:val="es-ES"/>
        </w:rPr>
        <w:t xml:space="preserve">fue </w:t>
      </w:r>
      <w:r w:rsidR="0072285E" w:rsidRPr="0072285E">
        <w:rPr>
          <w:rFonts w:ascii="Arial" w:hAnsi="Arial" w:cs="Arial"/>
          <w:sz w:val="24"/>
          <w:szCs w:val="24"/>
          <w:lang w:val="es-ES"/>
        </w:rPr>
        <w:t>aprobada el 15 de junio de 2015 por la Asamblea por los Estados Miembros de la Organización de los Estados Americanos (OEA)</w:t>
      </w:r>
      <w:r w:rsidR="006D3A55">
        <w:rPr>
          <w:rFonts w:ascii="Arial" w:hAnsi="Arial" w:cs="Arial"/>
          <w:sz w:val="24"/>
          <w:szCs w:val="24"/>
          <w:lang w:val="es-ES"/>
        </w:rPr>
        <w:t xml:space="preserve">, pero no es hasta </w:t>
      </w:r>
      <w:r w:rsidR="00766513" w:rsidRPr="00766513">
        <w:rPr>
          <w:rFonts w:ascii="Arial" w:hAnsi="Arial" w:cs="Arial"/>
          <w:sz w:val="24"/>
          <w:szCs w:val="24"/>
        </w:rPr>
        <w:t>el 13 de diciembre de 2022</w:t>
      </w:r>
      <w:r w:rsidR="00363F66">
        <w:rPr>
          <w:rFonts w:ascii="Arial" w:hAnsi="Arial" w:cs="Arial"/>
          <w:sz w:val="24"/>
          <w:szCs w:val="24"/>
        </w:rPr>
        <w:t xml:space="preserve"> que </w:t>
      </w:r>
      <w:r w:rsidR="00BD5CBE" w:rsidRPr="00766513">
        <w:rPr>
          <w:rFonts w:ascii="Arial" w:hAnsi="Arial" w:cs="Arial"/>
          <w:sz w:val="24"/>
          <w:szCs w:val="24"/>
        </w:rPr>
        <w:t>de forma unánime</w:t>
      </w:r>
      <w:r w:rsidR="00363F66">
        <w:rPr>
          <w:rFonts w:ascii="Arial" w:hAnsi="Arial" w:cs="Arial"/>
          <w:sz w:val="24"/>
          <w:szCs w:val="24"/>
        </w:rPr>
        <w:t xml:space="preserve"> se aprobó</w:t>
      </w:r>
      <w:r w:rsidR="00BD5CBE" w:rsidRPr="00766513">
        <w:rPr>
          <w:rFonts w:ascii="Arial" w:hAnsi="Arial" w:cs="Arial"/>
          <w:sz w:val="24"/>
          <w:szCs w:val="24"/>
        </w:rPr>
        <w:t xml:space="preserve"> por el Senado de la República</w:t>
      </w:r>
      <w:r w:rsidR="00766513" w:rsidRPr="00766513">
        <w:rPr>
          <w:rFonts w:ascii="Arial" w:hAnsi="Arial" w:cs="Arial"/>
          <w:sz w:val="24"/>
          <w:szCs w:val="24"/>
        </w:rPr>
        <w:t xml:space="preserve"> y publicada el 10 de enero de 2023 en el Diario Oficial de la Federación (DOF)</w:t>
      </w:r>
      <w:r w:rsidR="00363F66">
        <w:rPr>
          <w:rFonts w:ascii="Arial" w:hAnsi="Arial" w:cs="Arial"/>
          <w:sz w:val="24"/>
          <w:szCs w:val="24"/>
        </w:rPr>
        <w:t xml:space="preserve">, es decir, nos encontramos a tan solo dos años </w:t>
      </w:r>
      <w:r w:rsidR="00F37C97">
        <w:rPr>
          <w:rFonts w:ascii="Arial" w:hAnsi="Arial" w:cs="Arial"/>
          <w:sz w:val="24"/>
          <w:szCs w:val="24"/>
        </w:rPr>
        <w:t xml:space="preserve">de que México forma parte y comienza aplicarlo, en conclusión </w:t>
      </w:r>
      <w:r w:rsidR="0029591E">
        <w:rPr>
          <w:rFonts w:ascii="Arial" w:hAnsi="Arial" w:cs="Arial"/>
          <w:sz w:val="24"/>
          <w:szCs w:val="24"/>
        </w:rPr>
        <w:t>aún</w:t>
      </w:r>
      <w:r w:rsidR="00F37C97">
        <w:rPr>
          <w:rFonts w:ascii="Arial" w:hAnsi="Arial" w:cs="Arial"/>
          <w:sz w:val="24"/>
          <w:szCs w:val="24"/>
        </w:rPr>
        <w:t xml:space="preserve"> hay bastante por abordar en torno a este convenio. </w:t>
      </w:r>
    </w:p>
    <w:p w14:paraId="293EC209" w14:textId="77777777" w:rsidR="00AA794F" w:rsidRPr="00DB364D" w:rsidRDefault="00530B98" w:rsidP="00A27F08">
      <w:pPr>
        <w:pStyle w:val="Cuerpo"/>
        <w:spacing w:before="100" w:after="0" w:line="360" w:lineRule="auto"/>
        <w:jc w:val="both"/>
        <w:rPr>
          <w:rFonts w:ascii="Arial" w:hAnsi="Arial" w:cs="Arial"/>
          <w:b/>
          <w:bCs/>
          <w:sz w:val="24"/>
          <w:szCs w:val="24"/>
          <w:u w:val="single"/>
        </w:rPr>
      </w:pPr>
      <w:r w:rsidRPr="00DB364D">
        <w:rPr>
          <w:rFonts w:ascii="Arial" w:hAnsi="Arial" w:cs="Arial"/>
          <w:b/>
          <w:bCs/>
          <w:sz w:val="24"/>
          <w:szCs w:val="24"/>
          <w:u w:val="single"/>
        </w:rPr>
        <w:t xml:space="preserve">Menester jurídico. </w:t>
      </w:r>
    </w:p>
    <w:p w14:paraId="67A6ABAF" w14:textId="77777777" w:rsidR="008E2C9F" w:rsidRDefault="00867A43" w:rsidP="00A27F08">
      <w:pPr>
        <w:pStyle w:val="Cuerpo"/>
        <w:spacing w:before="100" w:after="0" w:line="360" w:lineRule="auto"/>
        <w:jc w:val="both"/>
        <w:rPr>
          <w:rFonts w:ascii="Arial" w:hAnsi="Arial" w:cs="Arial"/>
          <w:sz w:val="24"/>
          <w:szCs w:val="24"/>
        </w:rPr>
      </w:pPr>
      <w:r>
        <w:rPr>
          <w:rFonts w:ascii="Arial" w:hAnsi="Arial" w:cs="Arial"/>
          <w:sz w:val="24"/>
          <w:szCs w:val="24"/>
        </w:rPr>
        <w:t>Uno de los pilar</w:t>
      </w:r>
      <w:r w:rsidR="002D7801">
        <w:rPr>
          <w:rFonts w:ascii="Arial" w:hAnsi="Arial" w:cs="Arial"/>
          <w:sz w:val="24"/>
          <w:szCs w:val="24"/>
        </w:rPr>
        <w:t>e</w:t>
      </w:r>
      <w:r>
        <w:rPr>
          <w:rFonts w:ascii="Arial" w:hAnsi="Arial" w:cs="Arial"/>
          <w:sz w:val="24"/>
          <w:szCs w:val="24"/>
        </w:rPr>
        <w:t xml:space="preserve">s fundamentales de un procedimiento </w:t>
      </w:r>
      <w:r w:rsidR="002D7801">
        <w:rPr>
          <w:rFonts w:ascii="Arial" w:hAnsi="Arial" w:cs="Arial"/>
          <w:sz w:val="24"/>
          <w:szCs w:val="24"/>
        </w:rPr>
        <w:t>administrativo y/o jurídico</w:t>
      </w:r>
      <w:r w:rsidR="00634849" w:rsidRPr="00634849">
        <w:rPr>
          <w:rFonts w:ascii="Arial" w:hAnsi="Arial" w:cs="Arial"/>
          <w:sz w:val="24"/>
          <w:szCs w:val="24"/>
        </w:rPr>
        <w:t xml:space="preserve"> </w:t>
      </w:r>
      <w:r w:rsidR="002D7801">
        <w:rPr>
          <w:rFonts w:ascii="Arial" w:hAnsi="Arial" w:cs="Arial"/>
          <w:sz w:val="24"/>
          <w:szCs w:val="24"/>
        </w:rPr>
        <w:t xml:space="preserve">es </w:t>
      </w:r>
      <w:r w:rsidR="00634849" w:rsidRPr="00634849">
        <w:rPr>
          <w:rFonts w:ascii="Arial" w:hAnsi="Arial" w:cs="Arial"/>
          <w:sz w:val="24"/>
          <w:szCs w:val="24"/>
        </w:rPr>
        <w:t>la oportunidad de participar en igualdad de condiciones.</w:t>
      </w:r>
    </w:p>
    <w:p w14:paraId="00153F4E" w14:textId="77777777" w:rsidR="007144D9" w:rsidRDefault="007144D9" w:rsidP="00A27F08">
      <w:pPr>
        <w:pStyle w:val="Cuerpo"/>
        <w:spacing w:before="100" w:after="0" w:line="360" w:lineRule="auto"/>
        <w:jc w:val="both"/>
        <w:rPr>
          <w:rFonts w:ascii="Arial" w:hAnsi="Arial" w:cs="Arial"/>
          <w:sz w:val="24"/>
          <w:szCs w:val="24"/>
        </w:rPr>
      </w:pPr>
      <w:r w:rsidRPr="007144D9">
        <w:rPr>
          <w:rFonts w:ascii="Arial" w:hAnsi="Arial" w:cs="Arial"/>
          <w:sz w:val="24"/>
          <w:szCs w:val="24"/>
        </w:rPr>
        <w:t>En ese contexto, la falta de medidas para garantizar el derecho de acceso a la justicia de una persona</w:t>
      </w:r>
      <w:r w:rsidR="00076081">
        <w:rPr>
          <w:rFonts w:ascii="Arial" w:hAnsi="Arial" w:cs="Arial"/>
          <w:sz w:val="24"/>
          <w:szCs w:val="24"/>
        </w:rPr>
        <w:t xml:space="preserve"> adulta mayor</w:t>
      </w:r>
      <w:r w:rsidRPr="007144D9">
        <w:rPr>
          <w:rFonts w:ascii="Arial" w:hAnsi="Arial" w:cs="Arial"/>
          <w:sz w:val="24"/>
          <w:szCs w:val="24"/>
        </w:rPr>
        <w:t xml:space="preserve"> involucra una práctica discriminatoria por no respetar su voluntad, autonomía y no reconocer su capacidad jurídica, en transgresión a los derechos fundamentales a la igualdad y no discriminación</w:t>
      </w:r>
      <w:r w:rsidR="00CB1BDC">
        <w:rPr>
          <w:rFonts w:ascii="Arial" w:hAnsi="Arial" w:cs="Arial"/>
          <w:sz w:val="24"/>
          <w:szCs w:val="24"/>
        </w:rPr>
        <w:t xml:space="preserve">. </w:t>
      </w:r>
    </w:p>
    <w:p w14:paraId="4A2A47EF" w14:textId="77777777" w:rsidR="00A6448F" w:rsidRDefault="00CB1BDC" w:rsidP="00A27F08">
      <w:pPr>
        <w:pStyle w:val="Cuerpo"/>
        <w:spacing w:before="100" w:after="0" w:line="360" w:lineRule="auto"/>
        <w:jc w:val="both"/>
        <w:rPr>
          <w:rFonts w:ascii="Arial" w:hAnsi="Arial" w:cs="Arial"/>
          <w:sz w:val="24"/>
          <w:szCs w:val="24"/>
        </w:rPr>
      </w:pPr>
      <w:r>
        <w:rPr>
          <w:rFonts w:ascii="Arial" w:hAnsi="Arial" w:cs="Arial"/>
          <w:sz w:val="24"/>
          <w:szCs w:val="24"/>
        </w:rPr>
        <w:t>E</w:t>
      </w:r>
      <w:r w:rsidR="00A6448F" w:rsidRPr="00A6448F">
        <w:rPr>
          <w:rFonts w:ascii="Arial" w:hAnsi="Arial" w:cs="Arial"/>
          <w:sz w:val="24"/>
          <w:szCs w:val="24"/>
        </w:rPr>
        <w:t xml:space="preserve">l sistema yucateco para declarar a una persona en estado de interdicción parte del desconocimiento de la capacidad jurídica de la persona </w:t>
      </w:r>
      <w:r w:rsidR="00854E96">
        <w:rPr>
          <w:rFonts w:ascii="Arial" w:hAnsi="Arial" w:cs="Arial"/>
          <w:sz w:val="24"/>
          <w:szCs w:val="24"/>
        </w:rPr>
        <w:t>de quien se solicita la interdicción</w:t>
      </w:r>
      <w:r w:rsidR="00A6448F" w:rsidRPr="00A6448F">
        <w:rPr>
          <w:rFonts w:ascii="Arial" w:hAnsi="Arial" w:cs="Arial"/>
          <w:sz w:val="24"/>
          <w:szCs w:val="24"/>
        </w:rPr>
        <w:t xml:space="preserve">, lo que implica una injerencia en las posibilidades de actuación de la persona y, por ello, supone una limitación de sus derechos fundamentales, por lo </w:t>
      </w:r>
      <w:r w:rsidR="00A6448F" w:rsidRPr="00A6448F">
        <w:rPr>
          <w:rFonts w:ascii="Arial" w:hAnsi="Arial" w:cs="Arial"/>
          <w:sz w:val="24"/>
          <w:szCs w:val="24"/>
        </w:rPr>
        <w:lastRenderedPageBreak/>
        <w:t xml:space="preserve">que no puede de ninguna manera admitirse, bajo el modelo social y de derechos humanos, que el derecho de audiencia de la persona </w:t>
      </w:r>
      <w:r w:rsidR="00C85B08">
        <w:rPr>
          <w:rFonts w:ascii="Arial" w:hAnsi="Arial" w:cs="Arial"/>
          <w:sz w:val="24"/>
          <w:szCs w:val="24"/>
        </w:rPr>
        <w:t>discapacitada</w:t>
      </w:r>
      <w:r w:rsidR="00B17278">
        <w:rPr>
          <w:rFonts w:ascii="Arial" w:hAnsi="Arial" w:cs="Arial"/>
          <w:sz w:val="24"/>
          <w:szCs w:val="24"/>
        </w:rPr>
        <w:t xml:space="preserve"> </w:t>
      </w:r>
      <w:r w:rsidR="00A6448F" w:rsidRPr="00A6448F">
        <w:rPr>
          <w:rFonts w:ascii="Arial" w:hAnsi="Arial" w:cs="Arial"/>
          <w:sz w:val="24"/>
          <w:szCs w:val="24"/>
        </w:rPr>
        <w:t>se satisfaga por las manifestaciones de quien promovió en su nombre</w:t>
      </w:r>
      <w:r w:rsidR="007A6970">
        <w:rPr>
          <w:rFonts w:ascii="Arial" w:hAnsi="Arial" w:cs="Arial"/>
          <w:sz w:val="24"/>
          <w:szCs w:val="24"/>
        </w:rPr>
        <w:t xml:space="preserve">, aparejado razonamiento trae al momento de solicitar un tutor para una persona Adulta mayor, </w:t>
      </w:r>
      <w:r w:rsidR="000C7776">
        <w:rPr>
          <w:rFonts w:ascii="Arial" w:hAnsi="Arial" w:cs="Arial"/>
          <w:sz w:val="24"/>
          <w:szCs w:val="24"/>
        </w:rPr>
        <w:t xml:space="preserve">a quienes como consecuencia de su edad se les trata de calificar como “incapacitados” </w:t>
      </w:r>
      <w:r w:rsidR="0085099E">
        <w:rPr>
          <w:rFonts w:ascii="Arial" w:hAnsi="Arial" w:cs="Arial"/>
          <w:sz w:val="24"/>
          <w:szCs w:val="24"/>
        </w:rPr>
        <w:t xml:space="preserve">como si de un sinónimo se tratare. </w:t>
      </w:r>
    </w:p>
    <w:p w14:paraId="5316894C" w14:textId="77777777" w:rsidR="009B7D4E" w:rsidRDefault="009B7D4E" w:rsidP="00A27F08">
      <w:pPr>
        <w:pStyle w:val="Cuerpo"/>
        <w:spacing w:before="100" w:after="0" w:line="360" w:lineRule="auto"/>
        <w:jc w:val="both"/>
        <w:rPr>
          <w:rFonts w:ascii="Arial" w:hAnsi="Arial" w:cs="Arial"/>
          <w:sz w:val="24"/>
          <w:szCs w:val="24"/>
        </w:rPr>
      </w:pPr>
      <w:r w:rsidRPr="009B7D4E">
        <w:rPr>
          <w:rFonts w:ascii="Arial" w:hAnsi="Arial" w:cs="Arial"/>
          <w:sz w:val="24"/>
          <w:szCs w:val="24"/>
        </w:rPr>
        <w:t>El modelo social señala que la premisa que genera la d</w:t>
      </w:r>
      <w:r w:rsidR="00E44951">
        <w:rPr>
          <w:rFonts w:ascii="Arial" w:hAnsi="Arial" w:cs="Arial"/>
          <w:sz w:val="24"/>
          <w:szCs w:val="24"/>
        </w:rPr>
        <w:t>esigualdad</w:t>
      </w:r>
      <w:r w:rsidRPr="009B7D4E">
        <w:rPr>
          <w:rFonts w:ascii="Arial" w:hAnsi="Arial" w:cs="Arial"/>
          <w:sz w:val="24"/>
          <w:szCs w:val="24"/>
        </w:rPr>
        <w:t xml:space="preserve"> es el contexto en que se desenvuelve la persona; por lo que las medidas que propone se encuentran dirigidas a aminorar tales barreras; por tanto, las limitaciones son producidas por las deficiencias de la sociedad de prestar servicios apropiados que aseguren que las necesidades de las personas </w:t>
      </w:r>
      <w:r w:rsidR="005F2423">
        <w:rPr>
          <w:rFonts w:ascii="Arial" w:hAnsi="Arial" w:cs="Arial"/>
          <w:sz w:val="24"/>
          <w:szCs w:val="24"/>
        </w:rPr>
        <w:t>adultos mayores</w:t>
      </w:r>
      <w:r w:rsidRPr="009B7D4E">
        <w:rPr>
          <w:rFonts w:ascii="Arial" w:hAnsi="Arial" w:cs="Arial"/>
          <w:sz w:val="24"/>
          <w:szCs w:val="24"/>
        </w:rPr>
        <w:t xml:space="preserve"> son tomadas en consideración. Dicho esquema se encuentra relacionado con el pleno reconocimiento de derechos fundamentales, tales como el respeto a la dignidad con independencia de cualquier diversidad funcional, la igualdad y la libertad personal ─aspecto que incluye la toma de decisiones─ teniendo como objeto la inclusión social basada en la vida independiente, la no discriminación y la accesibilidad universal en actividades económicas, políticas, sociales y culturales. En suma, a la luz del modelo social, la </w:t>
      </w:r>
      <w:r w:rsidR="00654DB2">
        <w:rPr>
          <w:rFonts w:ascii="Arial" w:hAnsi="Arial" w:cs="Arial"/>
          <w:sz w:val="24"/>
          <w:szCs w:val="24"/>
        </w:rPr>
        <w:t>vejez</w:t>
      </w:r>
      <w:r w:rsidRPr="009B7D4E">
        <w:rPr>
          <w:rFonts w:ascii="Arial" w:hAnsi="Arial" w:cs="Arial"/>
          <w:sz w:val="24"/>
          <w:szCs w:val="24"/>
        </w:rPr>
        <w:t xml:space="preserve"> debe ser considerada como una desventaja causada por las barreras que la organización social genera, al no atender de manera adecuada las necesidades de las personas con diversidades funcionales. </w:t>
      </w:r>
    </w:p>
    <w:p w14:paraId="229DF82F" w14:textId="77777777" w:rsidR="00F07ABA" w:rsidRPr="000625CB" w:rsidRDefault="00D73519" w:rsidP="00A27F08">
      <w:pPr>
        <w:pStyle w:val="Cuerpo"/>
        <w:spacing w:before="100" w:after="0" w:line="360" w:lineRule="auto"/>
        <w:jc w:val="both"/>
        <w:rPr>
          <w:rStyle w:val="Ninguno"/>
          <w:rFonts w:ascii="Arial" w:hAnsi="Arial" w:cs="Arial"/>
          <w:sz w:val="24"/>
          <w:szCs w:val="24"/>
        </w:rPr>
      </w:pPr>
      <w:r w:rsidRPr="00D73519">
        <w:rPr>
          <w:rFonts w:ascii="Arial" w:hAnsi="Arial" w:cs="Arial"/>
          <w:sz w:val="24"/>
          <w:szCs w:val="24"/>
        </w:rPr>
        <w:t xml:space="preserve">En consecuencia, primero se debe perseguir la nivelación de las oportunidades de las cuales gozan las personas para su plena inserción social, pues solo a partir de tal escenario es que las políticas de no discriminación adquieren plena vigencia. En otras palabras, se parte del reconocimiento de que las personas </w:t>
      </w:r>
      <w:r w:rsidR="000F288C">
        <w:rPr>
          <w:rFonts w:ascii="Arial" w:hAnsi="Arial" w:cs="Arial"/>
          <w:sz w:val="24"/>
          <w:szCs w:val="24"/>
        </w:rPr>
        <w:t>adult</w:t>
      </w:r>
      <w:r w:rsidR="003D6E1E">
        <w:rPr>
          <w:rFonts w:ascii="Arial" w:hAnsi="Arial" w:cs="Arial"/>
          <w:sz w:val="24"/>
          <w:szCs w:val="24"/>
        </w:rPr>
        <w:t>a</w:t>
      </w:r>
      <w:r w:rsidR="000F288C">
        <w:rPr>
          <w:rFonts w:ascii="Arial" w:hAnsi="Arial" w:cs="Arial"/>
          <w:sz w:val="24"/>
          <w:szCs w:val="24"/>
        </w:rPr>
        <w:t xml:space="preserve">s mayores </w:t>
      </w:r>
      <w:r w:rsidRPr="00D73519">
        <w:rPr>
          <w:rFonts w:ascii="Arial" w:hAnsi="Arial" w:cs="Arial"/>
          <w:sz w:val="24"/>
          <w:szCs w:val="24"/>
        </w:rPr>
        <w:t>tienen circunstancias especiales, pero finalidades o necesidades similares al resto de la población</w:t>
      </w:r>
    </w:p>
    <w:p w14:paraId="2146F92B" w14:textId="77777777" w:rsidR="00A120C1" w:rsidRPr="000625CB" w:rsidRDefault="009D24E5" w:rsidP="00A252B4">
      <w:pPr>
        <w:pStyle w:val="Cuerpo"/>
        <w:spacing w:before="100" w:after="0" w:line="360" w:lineRule="auto"/>
        <w:jc w:val="both"/>
        <w:rPr>
          <w:rStyle w:val="Ninguno"/>
          <w:rFonts w:ascii="Arial" w:hAnsi="Arial" w:cs="Arial"/>
          <w:sz w:val="24"/>
          <w:szCs w:val="24"/>
        </w:rPr>
      </w:pPr>
      <w:r>
        <w:rPr>
          <w:rStyle w:val="Ninguno"/>
          <w:rFonts w:ascii="Arial" w:hAnsi="Arial" w:cs="Arial"/>
          <w:sz w:val="24"/>
          <w:szCs w:val="24"/>
        </w:rPr>
        <w:lastRenderedPageBreak/>
        <w:t xml:space="preserve"> </w:t>
      </w:r>
      <w:r w:rsidRPr="003D6E1E">
        <w:rPr>
          <w:rStyle w:val="Ninguno"/>
          <w:rFonts w:ascii="Arial" w:hAnsi="Arial" w:cs="Arial"/>
          <w:sz w:val="24"/>
          <w:szCs w:val="24"/>
        </w:rPr>
        <w:t>E</w:t>
      </w:r>
      <w:r w:rsidR="00A120C1" w:rsidRPr="003D6E1E">
        <w:rPr>
          <w:rStyle w:val="Ninguno"/>
          <w:rFonts w:ascii="Arial" w:hAnsi="Arial" w:cs="Arial"/>
          <w:sz w:val="24"/>
          <w:szCs w:val="24"/>
        </w:rPr>
        <w:t xml:space="preserve">n tal virtud </w:t>
      </w:r>
      <w:r w:rsidR="001C30B8" w:rsidRPr="003D6E1E">
        <w:rPr>
          <w:rStyle w:val="Ninguno"/>
          <w:rFonts w:ascii="Arial" w:hAnsi="Arial" w:cs="Arial"/>
          <w:sz w:val="24"/>
          <w:szCs w:val="24"/>
        </w:rPr>
        <w:t>para</w:t>
      </w:r>
      <w:r w:rsidR="001C30B8" w:rsidRPr="000625CB">
        <w:rPr>
          <w:rStyle w:val="Ninguno"/>
          <w:rFonts w:ascii="Arial" w:hAnsi="Arial" w:cs="Arial"/>
          <w:sz w:val="24"/>
          <w:szCs w:val="24"/>
        </w:rPr>
        <w:t xml:space="preserve"> garantiza</w:t>
      </w:r>
      <w:r w:rsidR="00AE697D">
        <w:rPr>
          <w:rStyle w:val="Ninguno"/>
          <w:rFonts w:ascii="Arial" w:hAnsi="Arial" w:cs="Arial"/>
          <w:sz w:val="24"/>
          <w:szCs w:val="24"/>
        </w:rPr>
        <w:t>r el resguardo de los derechos de la población de adultos</w:t>
      </w:r>
      <w:r w:rsidR="00F14BA3">
        <w:rPr>
          <w:rStyle w:val="Ninguno"/>
          <w:rFonts w:ascii="Arial" w:hAnsi="Arial" w:cs="Arial"/>
          <w:sz w:val="24"/>
          <w:szCs w:val="24"/>
        </w:rPr>
        <w:t xml:space="preserve"> </w:t>
      </w:r>
      <w:r w:rsidR="00AE697D">
        <w:rPr>
          <w:rStyle w:val="Ninguno"/>
          <w:rFonts w:ascii="Arial" w:hAnsi="Arial" w:cs="Arial"/>
          <w:sz w:val="24"/>
          <w:szCs w:val="24"/>
        </w:rPr>
        <w:t>mayores</w:t>
      </w:r>
      <w:r w:rsidRPr="00DC28FD">
        <w:rPr>
          <w:rFonts w:ascii="Tahoma" w:hAnsi="Tahoma" w:cs="Tahoma"/>
        </w:rPr>
        <w:t xml:space="preserve"> </w:t>
      </w:r>
      <w:r w:rsidR="001C30B8" w:rsidRPr="000625CB">
        <w:rPr>
          <w:rStyle w:val="Ninguno"/>
          <w:rFonts w:ascii="Arial" w:hAnsi="Arial" w:cs="Arial"/>
          <w:sz w:val="24"/>
          <w:szCs w:val="24"/>
        </w:rPr>
        <w:t>es que</w:t>
      </w:r>
      <w:r w:rsidR="00E9735C" w:rsidRPr="000625CB">
        <w:rPr>
          <w:rStyle w:val="Ninguno"/>
          <w:rFonts w:ascii="Arial" w:hAnsi="Arial" w:cs="Arial"/>
          <w:sz w:val="24"/>
          <w:szCs w:val="24"/>
        </w:rPr>
        <w:t xml:space="preserve"> se propone la presente reforma, que para mejor ilustración se describe en el siguiente cuadro: </w:t>
      </w:r>
    </w:p>
    <w:p w14:paraId="3AD1B526" w14:textId="77777777" w:rsidR="00E50130" w:rsidRPr="000625CB" w:rsidRDefault="00E50130" w:rsidP="00A252B4">
      <w:pPr>
        <w:pStyle w:val="Cuerpo"/>
        <w:spacing w:before="100" w:after="0" w:line="360" w:lineRule="auto"/>
        <w:jc w:val="both"/>
        <w:rPr>
          <w:rStyle w:val="Ninguno"/>
          <w:rFonts w:ascii="Arial" w:hAnsi="Arial" w:cs="Arial"/>
          <w:sz w:val="24"/>
          <w:szCs w:val="24"/>
        </w:rPr>
      </w:pPr>
    </w:p>
    <w:tbl>
      <w:tblPr>
        <w:tblStyle w:val="Tablaconcuadrcula"/>
        <w:tblW w:w="0" w:type="auto"/>
        <w:tblLook w:val="04A0" w:firstRow="1" w:lastRow="0" w:firstColumn="1" w:lastColumn="0" w:noHBand="0" w:noVBand="1"/>
      </w:tblPr>
      <w:tblGrid>
        <w:gridCol w:w="4414"/>
        <w:gridCol w:w="4414"/>
      </w:tblGrid>
      <w:tr w:rsidR="00E50130" w:rsidRPr="000625CB" w14:paraId="3A1D5208" w14:textId="77777777" w:rsidTr="00F07B6B">
        <w:tc>
          <w:tcPr>
            <w:tcW w:w="8828" w:type="dxa"/>
            <w:gridSpan w:val="2"/>
          </w:tcPr>
          <w:p w14:paraId="1A1F3412" w14:textId="77777777" w:rsidR="00E50130" w:rsidRPr="000625CB" w:rsidRDefault="00F14BA3" w:rsidP="00B718C3">
            <w:pPr>
              <w:pStyle w:val="Cuerpo"/>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Style w:val="Ninguno"/>
                <w:rFonts w:ascii="Arial" w:hAnsi="Arial" w:cs="Arial"/>
                <w:b/>
                <w:bCs/>
                <w:sz w:val="24"/>
                <w:szCs w:val="24"/>
              </w:rPr>
            </w:pPr>
            <w:r>
              <w:rPr>
                <w:rFonts w:ascii="Arial" w:hAnsi="Arial" w:cs="Arial"/>
                <w:b/>
                <w:bCs/>
                <w:sz w:val="24"/>
                <w:szCs w:val="24"/>
              </w:rPr>
              <w:t xml:space="preserve">CÓDIGO DE FAMILIA </w:t>
            </w:r>
            <w:r w:rsidR="00E50130" w:rsidRPr="000625CB">
              <w:rPr>
                <w:rFonts w:ascii="Arial" w:hAnsi="Arial" w:cs="Arial"/>
                <w:b/>
                <w:bCs/>
                <w:sz w:val="24"/>
                <w:szCs w:val="24"/>
              </w:rPr>
              <w:t>DEL ESTADO DE YUCATÁN</w:t>
            </w:r>
          </w:p>
        </w:tc>
      </w:tr>
      <w:tr w:rsidR="00E50130" w:rsidRPr="000625CB" w14:paraId="6CC4535F" w14:textId="77777777" w:rsidTr="00B718C3">
        <w:tc>
          <w:tcPr>
            <w:tcW w:w="4414" w:type="dxa"/>
          </w:tcPr>
          <w:p w14:paraId="11E0DF4A" w14:textId="77777777" w:rsidR="00E50130" w:rsidRPr="000625CB" w:rsidRDefault="00E50130" w:rsidP="00B718C3">
            <w:pPr>
              <w:pStyle w:val="Cuerpo"/>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Style w:val="Ninguno"/>
                <w:rFonts w:ascii="Arial" w:hAnsi="Arial" w:cs="Arial"/>
                <w:b/>
                <w:bCs/>
                <w:sz w:val="24"/>
                <w:szCs w:val="24"/>
              </w:rPr>
            </w:pPr>
            <w:r w:rsidRPr="000625CB">
              <w:rPr>
                <w:rStyle w:val="Ninguno"/>
                <w:rFonts w:ascii="Arial" w:hAnsi="Arial" w:cs="Arial"/>
                <w:b/>
                <w:bCs/>
                <w:sz w:val="24"/>
                <w:szCs w:val="24"/>
              </w:rPr>
              <w:t>TEXTO VIGENTE</w:t>
            </w:r>
          </w:p>
        </w:tc>
        <w:tc>
          <w:tcPr>
            <w:tcW w:w="4414" w:type="dxa"/>
          </w:tcPr>
          <w:p w14:paraId="7AE2E050" w14:textId="77777777" w:rsidR="00E50130" w:rsidRPr="000625CB" w:rsidRDefault="00E50130" w:rsidP="00B718C3">
            <w:pPr>
              <w:pStyle w:val="Cuerpo"/>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Style w:val="Ninguno"/>
                <w:rFonts w:ascii="Arial" w:hAnsi="Arial" w:cs="Arial"/>
                <w:b/>
                <w:bCs/>
                <w:sz w:val="24"/>
                <w:szCs w:val="24"/>
              </w:rPr>
            </w:pPr>
            <w:r w:rsidRPr="000625CB">
              <w:rPr>
                <w:rStyle w:val="Ninguno"/>
                <w:rFonts w:ascii="Arial" w:hAnsi="Arial" w:cs="Arial"/>
                <w:b/>
                <w:bCs/>
                <w:sz w:val="24"/>
                <w:szCs w:val="24"/>
              </w:rPr>
              <w:t>TEXTO PROPUESTO</w:t>
            </w:r>
          </w:p>
        </w:tc>
      </w:tr>
      <w:tr w:rsidR="000C6BC5" w:rsidRPr="000625CB" w14:paraId="027AD99D" w14:textId="77777777" w:rsidTr="00FB6C61">
        <w:tc>
          <w:tcPr>
            <w:tcW w:w="4414" w:type="dxa"/>
          </w:tcPr>
          <w:p w14:paraId="42BF5C85" w14:textId="77777777" w:rsidR="007C7B01" w:rsidRPr="007C7B01" w:rsidRDefault="007C7B01" w:rsidP="007C7B01">
            <w:pPr>
              <w:spacing w:line="360" w:lineRule="auto"/>
              <w:jc w:val="both"/>
              <w:rPr>
                <w:rFonts w:ascii="Arial" w:hAnsi="Arial" w:cs="Arial"/>
                <w:b/>
                <w:bCs/>
                <w:sz w:val="24"/>
                <w:szCs w:val="24"/>
              </w:rPr>
            </w:pPr>
            <w:r w:rsidRPr="007C7B01">
              <w:rPr>
                <w:rFonts w:ascii="Arial" w:hAnsi="Arial" w:cs="Arial"/>
                <w:b/>
                <w:bCs/>
                <w:sz w:val="24"/>
                <w:szCs w:val="24"/>
              </w:rPr>
              <w:t xml:space="preserve">Tutela de mayores de edad </w:t>
            </w:r>
          </w:p>
          <w:p w14:paraId="424D41A5" w14:textId="77777777" w:rsidR="007C7B01" w:rsidRPr="007C7B01" w:rsidRDefault="007C7B01" w:rsidP="007C7B01">
            <w:pPr>
              <w:spacing w:line="360" w:lineRule="auto"/>
              <w:jc w:val="both"/>
              <w:rPr>
                <w:rFonts w:ascii="Arial" w:hAnsi="Arial" w:cs="Arial"/>
                <w:sz w:val="24"/>
                <w:szCs w:val="24"/>
              </w:rPr>
            </w:pPr>
            <w:r w:rsidRPr="007C7B01">
              <w:rPr>
                <w:rFonts w:ascii="Arial" w:hAnsi="Arial" w:cs="Arial"/>
                <w:b/>
                <w:bCs/>
                <w:sz w:val="24"/>
                <w:szCs w:val="24"/>
              </w:rPr>
              <w:t>Artículo 425</w:t>
            </w:r>
            <w:r w:rsidRPr="007C7B01">
              <w:rPr>
                <w:rFonts w:ascii="Arial" w:hAnsi="Arial" w:cs="Arial"/>
                <w:sz w:val="24"/>
                <w:szCs w:val="24"/>
              </w:rPr>
              <w:t xml:space="preserve">.- Ninguna tutela </w:t>
            </w:r>
            <w:proofErr w:type="gramStart"/>
            <w:r w:rsidRPr="007C7B01">
              <w:rPr>
                <w:rFonts w:ascii="Arial" w:hAnsi="Arial" w:cs="Arial"/>
                <w:sz w:val="24"/>
                <w:szCs w:val="24"/>
              </w:rPr>
              <w:t>en relación a</w:t>
            </w:r>
            <w:proofErr w:type="gramEnd"/>
            <w:r w:rsidRPr="007C7B01">
              <w:rPr>
                <w:rFonts w:ascii="Arial" w:hAnsi="Arial" w:cs="Arial"/>
                <w:sz w:val="24"/>
                <w:szCs w:val="24"/>
              </w:rPr>
              <w:t xml:space="preserve"> una persona mayor de edad puede concederse sin que previamente el juez escuché a la persona con discapacidad intelectual, psicosocial o mental y evalué el grado de discapacidad y apoyos que requiere a través de un peritaje interdisciplinario realizado por dos o más profesionales de la salud mental y psicosocial, así como de educación.</w:t>
            </w:r>
          </w:p>
          <w:p w14:paraId="28DC1CED" w14:textId="77777777" w:rsidR="007C7B01" w:rsidRPr="007C7B01" w:rsidRDefault="007C7B01" w:rsidP="007C7B01">
            <w:pPr>
              <w:spacing w:line="360" w:lineRule="auto"/>
              <w:jc w:val="both"/>
              <w:rPr>
                <w:rFonts w:ascii="Arial" w:hAnsi="Arial" w:cs="Arial"/>
                <w:sz w:val="24"/>
                <w:szCs w:val="24"/>
              </w:rPr>
            </w:pPr>
          </w:p>
          <w:p w14:paraId="1F4E7C9A" w14:textId="77777777" w:rsidR="007C7B01" w:rsidRPr="007C7B01" w:rsidRDefault="007C7B01" w:rsidP="007C7B01">
            <w:pPr>
              <w:spacing w:line="360" w:lineRule="auto"/>
              <w:jc w:val="both"/>
              <w:rPr>
                <w:rFonts w:ascii="Arial" w:hAnsi="Arial" w:cs="Arial"/>
                <w:sz w:val="24"/>
                <w:szCs w:val="24"/>
              </w:rPr>
            </w:pPr>
            <w:r w:rsidRPr="007C7B01">
              <w:rPr>
                <w:rFonts w:ascii="Arial" w:hAnsi="Arial" w:cs="Arial"/>
                <w:sz w:val="24"/>
                <w:szCs w:val="24"/>
              </w:rPr>
              <w:t xml:space="preserve">Lo dispuesto en el párrafo anterior no aplica respecto de las personas que desde la minoría de edad se encuentran bajo la tutela y al cumplir dieciocho años no cuentan aún con capacidad de ejercicio, pues en este caso, quienes ejercen la patria potestad continúan desempeñando la tutela </w:t>
            </w:r>
            <w:r w:rsidRPr="007C7B01">
              <w:rPr>
                <w:rFonts w:ascii="Arial" w:hAnsi="Arial" w:cs="Arial"/>
                <w:sz w:val="24"/>
                <w:szCs w:val="24"/>
              </w:rPr>
              <w:lastRenderedPageBreak/>
              <w:t>temporalmente, hasta en tanto el juez le designe tutor interino o definitivo al pupilo, una vez promovida la declaración del estado de interdicción.</w:t>
            </w:r>
          </w:p>
          <w:p w14:paraId="210EE4E2" w14:textId="77777777" w:rsidR="004D5D0E" w:rsidRPr="000625CB" w:rsidRDefault="004D5D0E" w:rsidP="000C6BC5">
            <w:pPr>
              <w:pStyle w:val="Cuerpo"/>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Style w:val="Ninguno"/>
                <w:rFonts w:ascii="Arial" w:hAnsi="Arial" w:cs="Arial"/>
                <w:b/>
                <w:bCs/>
                <w:sz w:val="24"/>
                <w:szCs w:val="24"/>
              </w:rPr>
            </w:pPr>
          </w:p>
        </w:tc>
        <w:tc>
          <w:tcPr>
            <w:tcW w:w="4414" w:type="dxa"/>
            <w:vAlign w:val="center"/>
          </w:tcPr>
          <w:p w14:paraId="536F69C6" w14:textId="77777777" w:rsidR="00F5790A" w:rsidRPr="00D8664C" w:rsidRDefault="00F5790A" w:rsidP="00F5790A">
            <w:pPr>
              <w:spacing w:line="360" w:lineRule="auto"/>
              <w:jc w:val="both"/>
              <w:rPr>
                <w:rFonts w:ascii="Arial" w:hAnsi="Arial" w:cs="Arial"/>
                <w:b/>
                <w:bCs/>
                <w:sz w:val="24"/>
                <w:szCs w:val="24"/>
              </w:rPr>
            </w:pPr>
            <w:r w:rsidRPr="00D8664C">
              <w:rPr>
                <w:rFonts w:ascii="Arial" w:hAnsi="Arial" w:cs="Arial"/>
                <w:b/>
                <w:bCs/>
                <w:sz w:val="24"/>
                <w:szCs w:val="24"/>
              </w:rPr>
              <w:lastRenderedPageBreak/>
              <w:t xml:space="preserve">Tutela de mayores de edad </w:t>
            </w:r>
          </w:p>
          <w:p w14:paraId="7439A931" w14:textId="77777777" w:rsidR="00F5790A" w:rsidRPr="00D8664C" w:rsidRDefault="00F5790A" w:rsidP="00F5790A">
            <w:pPr>
              <w:spacing w:line="360" w:lineRule="auto"/>
              <w:jc w:val="both"/>
              <w:rPr>
                <w:rFonts w:ascii="Arial" w:hAnsi="Arial" w:cs="Arial"/>
                <w:sz w:val="24"/>
                <w:szCs w:val="24"/>
              </w:rPr>
            </w:pPr>
            <w:r w:rsidRPr="00D8664C">
              <w:rPr>
                <w:rFonts w:ascii="Arial" w:hAnsi="Arial" w:cs="Arial"/>
                <w:b/>
                <w:bCs/>
                <w:sz w:val="24"/>
                <w:szCs w:val="24"/>
              </w:rPr>
              <w:t>Artículo 425</w:t>
            </w:r>
            <w:r w:rsidRPr="00D8664C">
              <w:rPr>
                <w:rFonts w:ascii="Arial" w:hAnsi="Arial" w:cs="Arial"/>
                <w:sz w:val="24"/>
                <w:szCs w:val="24"/>
              </w:rPr>
              <w:t xml:space="preserve">.- Ninguna tutela en relación a una persona mayor de edad puede concederse sin que previamente el juez escuche a la persona con discapacidad intelectual, psicosocial o mental </w:t>
            </w:r>
            <w:r w:rsidRPr="00D8664C">
              <w:rPr>
                <w:rFonts w:ascii="Arial" w:hAnsi="Arial" w:cs="Arial"/>
                <w:b/>
                <w:bCs/>
                <w:sz w:val="24"/>
                <w:szCs w:val="24"/>
                <w:lang w:val="es-ES"/>
              </w:rPr>
              <w:t>utilizando términos claros y sencillos, auxiliándose incluso de medios tecnológicos de comunicación, sistemas de comunicación aumentativos y/o alternativos, para lo cual puede asistirse de un facilitador de comunicación, psicólogos, pedagogo, terapeutas y especialistas en comunicación humana, quienes auxilien y faciliten el proceso de la comunicación entre el juez y de quien se solicita la tutela</w:t>
            </w:r>
            <w:r w:rsidRPr="00D8664C">
              <w:rPr>
                <w:rFonts w:ascii="Arial" w:hAnsi="Arial" w:cs="Arial"/>
                <w:sz w:val="24"/>
                <w:szCs w:val="24"/>
                <w:lang w:val="es-ES"/>
              </w:rPr>
              <w:t xml:space="preserve">, </w:t>
            </w:r>
            <w:r w:rsidRPr="00D8664C">
              <w:rPr>
                <w:rFonts w:ascii="Arial" w:hAnsi="Arial" w:cs="Arial"/>
                <w:sz w:val="24"/>
                <w:szCs w:val="24"/>
              </w:rPr>
              <w:t xml:space="preserve">y evalué el grado de discapacidad y apoyos que requiere a través de un </w:t>
            </w:r>
            <w:r w:rsidRPr="00D8664C">
              <w:rPr>
                <w:rFonts w:ascii="Arial" w:hAnsi="Arial" w:cs="Arial"/>
                <w:sz w:val="24"/>
                <w:szCs w:val="24"/>
              </w:rPr>
              <w:lastRenderedPageBreak/>
              <w:t>peritaje interdisciplinario realizado por dos o más profesionales de la salud mental y psicosocial, así como de educación.</w:t>
            </w:r>
          </w:p>
          <w:p w14:paraId="631CBBF4" w14:textId="77777777" w:rsidR="00F5790A" w:rsidRPr="00D8664C" w:rsidRDefault="00F5790A" w:rsidP="00F5790A">
            <w:pPr>
              <w:spacing w:line="360" w:lineRule="auto"/>
              <w:jc w:val="both"/>
              <w:rPr>
                <w:rFonts w:ascii="Arial" w:hAnsi="Arial" w:cs="Arial"/>
                <w:sz w:val="24"/>
                <w:szCs w:val="24"/>
              </w:rPr>
            </w:pPr>
          </w:p>
          <w:p w14:paraId="606362EB" w14:textId="77777777" w:rsidR="00F5790A" w:rsidRPr="00D8664C" w:rsidRDefault="00F5790A" w:rsidP="00F5790A">
            <w:pPr>
              <w:spacing w:line="360" w:lineRule="auto"/>
              <w:jc w:val="both"/>
              <w:rPr>
                <w:rFonts w:ascii="Arial" w:hAnsi="Arial" w:cs="Arial"/>
                <w:sz w:val="24"/>
                <w:szCs w:val="24"/>
              </w:rPr>
            </w:pPr>
            <w:r w:rsidRPr="00D8664C">
              <w:rPr>
                <w:rFonts w:ascii="Arial" w:hAnsi="Arial" w:cs="Arial"/>
                <w:sz w:val="24"/>
                <w:szCs w:val="24"/>
              </w:rPr>
              <w:t>Lo dispuesto en el párrafo anterior no aplica respecto de las personas que desde la minoría de edad se encuentran bajo la tutela y al cumplir dieciocho años no cuentan aún con capacidad de ejercicio, pues en este caso, quienes ejercen la patria potestad continúan desempeñando la tutela temporalmente, hasta en tanto el juez le designe tutor interino o definitivo al pupilo, una vez promovida la declaración del estado de interdicción.</w:t>
            </w:r>
          </w:p>
          <w:p w14:paraId="5FD6C50F" w14:textId="77777777" w:rsidR="00F5790A" w:rsidRPr="00D8664C" w:rsidRDefault="00F5790A" w:rsidP="00F5790A">
            <w:pPr>
              <w:spacing w:line="360" w:lineRule="auto"/>
              <w:jc w:val="both"/>
              <w:rPr>
                <w:rFonts w:ascii="Arial" w:hAnsi="Arial" w:cs="Arial"/>
                <w:sz w:val="24"/>
                <w:szCs w:val="24"/>
              </w:rPr>
            </w:pPr>
          </w:p>
          <w:p w14:paraId="4D52BBAC" w14:textId="77777777" w:rsidR="00F5790A" w:rsidRDefault="00F5790A" w:rsidP="00F5790A">
            <w:pPr>
              <w:spacing w:line="360" w:lineRule="auto"/>
              <w:jc w:val="both"/>
              <w:rPr>
                <w:rFonts w:ascii="Arial" w:hAnsi="Arial" w:cs="Arial"/>
                <w:sz w:val="24"/>
                <w:szCs w:val="24"/>
              </w:rPr>
            </w:pPr>
            <w:r w:rsidRPr="00D8664C">
              <w:rPr>
                <w:rFonts w:ascii="Arial" w:hAnsi="Arial" w:cs="Arial"/>
                <w:b/>
                <w:bCs/>
                <w:sz w:val="24"/>
                <w:szCs w:val="24"/>
              </w:rPr>
              <w:t>La misma observancia deberá aplicarse cuando de quien se solicite la tutoría sea una persona adulto mayor, el juez dictará las medidas que estime pertinentes para garantizar su participación en el procedimiento</w:t>
            </w:r>
            <w:r w:rsidRPr="00D8664C">
              <w:rPr>
                <w:rFonts w:ascii="Arial" w:hAnsi="Arial" w:cs="Arial"/>
                <w:sz w:val="24"/>
                <w:szCs w:val="24"/>
              </w:rPr>
              <w:t>.</w:t>
            </w:r>
          </w:p>
          <w:p w14:paraId="79F68C8C" w14:textId="77777777" w:rsidR="004D5D0E" w:rsidRPr="000625CB" w:rsidRDefault="004D5D0E" w:rsidP="00F14BA3">
            <w:pPr>
              <w:jc w:val="both"/>
              <w:rPr>
                <w:rStyle w:val="Ninguno"/>
                <w:rFonts w:ascii="Arial" w:hAnsi="Arial" w:cs="Arial"/>
                <w:b/>
                <w:bCs/>
                <w:sz w:val="24"/>
                <w:szCs w:val="24"/>
              </w:rPr>
            </w:pPr>
          </w:p>
        </w:tc>
      </w:tr>
    </w:tbl>
    <w:p w14:paraId="3DFB0E2A" w14:textId="77777777" w:rsidR="00D87A53" w:rsidRPr="000625CB" w:rsidRDefault="00D87A53" w:rsidP="00D87A53">
      <w:pPr>
        <w:pStyle w:val="Cuerpo"/>
        <w:spacing w:before="100" w:after="0" w:line="360" w:lineRule="auto"/>
        <w:jc w:val="both"/>
        <w:rPr>
          <w:rStyle w:val="Ninguno"/>
          <w:rFonts w:ascii="Arial" w:hAnsi="Arial" w:cs="Arial"/>
          <w:sz w:val="24"/>
          <w:szCs w:val="24"/>
        </w:rPr>
      </w:pPr>
    </w:p>
    <w:tbl>
      <w:tblPr>
        <w:tblStyle w:val="Tablaconcuadrcula"/>
        <w:tblW w:w="0" w:type="auto"/>
        <w:tblLook w:val="04A0" w:firstRow="1" w:lastRow="0" w:firstColumn="1" w:lastColumn="0" w:noHBand="0" w:noVBand="1"/>
      </w:tblPr>
      <w:tblGrid>
        <w:gridCol w:w="4414"/>
        <w:gridCol w:w="4414"/>
      </w:tblGrid>
      <w:tr w:rsidR="00D87A53" w:rsidRPr="000625CB" w14:paraId="6540B5CE" w14:textId="77777777" w:rsidTr="003C4602">
        <w:tc>
          <w:tcPr>
            <w:tcW w:w="8828" w:type="dxa"/>
            <w:gridSpan w:val="2"/>
          </w:tcPr>
          <w:p w14:paraId="635B2897" w14:textId="77777777" w:rsidR="00FA1DBC" w:rsidRDefault="00FA1DBC" w:rsidP="00FA1DBC">
            <w:pPr>
              <w:jc w:val="center"/>
              <w:rPr>
                <w:rFonts w:ascii="Arial" w:hAnsi="Arial" w:cs="Arial"/>
                <w:b/>
                <w:color w:val="000000"/>
                <w:sz w:val="28"/>
              </w:rPr>
            </w:pPr>
            <w:r w:rsidRPr="008F0B4C">
              <w:rPr>
                <w:rFonts w:ascii="Arial" w:hAnsi="Arial" w:cs="Arial"/>
                <w:b/>
                <w:color w:val="000000"/>
                <w:sz w:val="28"/>
              </w:rPr>
              <w:lastRenderedPageBreak/>
              <w:t>Ley Para La Protección De Los Derechos De Los Adultos Mayores Del Estado De Yucatá</w:t>
            </w:r>
            <w:r>
              <w:rPr>
                <w:rFonts w:ascii="Arial" w:hAnsi="Arial" w:cs="Arial"/>
                <w:b/>
                <w:color w:val="000000"/>
                <w:sz w:val="28"/>
              </w:rPr>
              <w:t>n</w:t>
            </w:r>
          </w:p>
          <w:p w14:paraId="3B3116B3" w14:textId="77777777" w:rsidR="00D87A53" w:rsidRPr="000625CB" w:rsidRDefault="00D87A53" w:rsidP="003C4602">
            <w:pPr>
              <w:pStyle w:val="Cuerpo"/>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Style w:val="Ninguno"/>
                <w:rFonts w:ascii="Arial" w:hAnsi="Arial" w:cs="Arial"/>
                <w:b/>
                <w:bCs/>
                <w:sz w:val="24"/>
                <w:szCs w:val="24"/>
              </w:rPr>
            </w:pPr>
          </w:p>
        </w:tc>
      </w:tr>
      <w:tr w:rsidR="00D87A53" w:rsidRPr="000625CB" w14:paraId="746DBF9D" w14:textId="77777777" w:rsidTr="003C4602">
        <w:tc>
          <w:tcPr>
            <w:tcW w:w="4414" w:type="dxa"/>
          </w:tcPr>
          <w:p w14:paraId="7E8B856F" w14:textId="77777777" w:rsidR="00D87A53" w:rsidRPr="000625CB" w:rsidRDefault="00D87A53" w:rsidP="003C4602">
            <w:pPr>
              <w:pStyle w:val="Cuerpo"/>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Style w:val="Ninguno"/>
                <w:rFonts w:ascii="Arial" w:hAnsi="Arial" w:cs="Arial"/>
                <w:b/>
                <w:bCs/>
                <w:sz w:val="24"/>
                <w:szCs w:val="24"/>
              </w:rPr>
            </w:pPr>
            <w:r w:rsidRPr="000625CB">
              <w:rPr>
                <w:rStyle w:val="Ninguno"/>
                <w:rFonts w:ascii="Arial" w:hAnsi="Arial" w:cs="Arial"/>
                <w:b/>
                <w:bCs/>
                <w:sz w:val="24"/>
                <w:szCs w:val="24"/>
              </w:rPr>
              <w:t>TEXTO VIGENTE</w:t>
            </w:r>
          </w:p>
        </w:tc>
        <w:tc>
          <w:tcPr>
            <w:tcW w:w="4414" w:type="dxa"/>
          </w:tcPr>
          <w:p w14:paraId="498AFF37" w14:textId="77777777" w:rsidR="00D87A53" w:rsidRPr="000625CB" w:rsidRDefault="00D87A53" w:rsidP="003C4602">
            <w:pPr>
              <w:pStyle w:val="Cuerpo"/>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center"/>
              <w:rPr>
                <w:rStyle w:val="Ninguno"/>
                <w:rFonts w:ascii="Arial" w:hAnsi="Arial" w:cs="Arial"/>
                <w:b/>
                <w:bCs/>
                <w:sz w:val="24"/>
                <w:szCs w:val="24"/>
              </w:rPr>
            </w:pPr>
            <w:r w:rsidRPr="000625CB">
              <w:rPr>
                <w:rStyle w:val="Ninguno"/>
                <w:rFonts w:ascii="Arial" w:hAnsi="Arial" w:cs="Arial"/>
                <w:b/>
                <w:bCs/>
                <w:sz w:val="24"/>
                <w:szCs w:val="24"/>
              </w:rPr>
              <w:t>TEXTO PROPUESTO</w:t>
            </w:r>
          </w:p>
        </w:tc>
      </w:tr>
      <w:tr w:rsidR="00D87A53" w:rsidRPr="000625CB" w14:paraId="28DB6CBB" w14:textId="77777777" w:rsidTr="003C4602">
        <w:tc>
          <w:tcPr>
            <w:tcW w:w="4414" w:type="dxa"/>
          </w:tcPr>
          <w:p w14:paraId="315CD3AF" w14:textId="77777777" w:rsidR="00A903F2" w:rsidRPr="00FA1DBC" w:rsidRDefault="00A903F2" w:rsidP="00FA1DBC">
            <w:pPr>
              <w:spacing w:line="360" w:lineRule="auto"/>
              <w:jc w:val="both"/>
              <w:rPr>
                <w:rFonts w:ascii="Arial" w:hAnsi="Arial" w:cs="Arial"/>
                <w:b/>
                <w:bCs/>
                <w:sz w:val="24"/>
                <w:szCs w:val="24"/>
              </w:rPr>
            </w:pPr>
            <w:r w:rsidRPr="00FA1DBC">
              <w:rPr>
                <w:rFonts w:ascii="Arial" w:hAnsi="Arial" w:cs="Arial"/>
                <w:b/>
                <w:bCs/>
                <w:sz w:val="24"/>
                <w:szCs w:val="24"/>
              </w:rPr>
              <w:t xml:space="preserve">Artículo 3. Aplicación </w:t>
            </w:r>
          </w:p>
          <w:p w14:paraId="5131BEE9" w14:textId="77777777" w:rsidR="00D87A53" w:rsidRPr="00D87A53" w:rsidRDefault="00A903F2" w:rsidP="00FA1DBC">
            <w:pPr>
              <w:spacing w:line="360" w:lineRule="auto"/>
              <w:jc w:val="both"/>
              <w:rPr>
                <w:rStyle w:val="Ninguno"/>
                <w:rFonts w:ascii="Arial" w:hAnsi="Arial" w:cs="Arial"/>
                <w:sz w:val="24"/>
                <w:szCs w:val="24"/>
              </w:rPr>
            </w:pPr>
            <w:r w:rsidRPr="00FA1DBC">
              <w:rPr>
                <w:rFonts w:ascii="Arial" w:hAnsi="Arial" w:cs="Arial"/>
                <w:sz w:val="24"/>
                <w:szCs w:val="24"/>
              </w:rPr>
              <w:t>La aplicación, seguimiento y vigilancia de esta ley corresponde, en el ámbito de sus respectivas competencias, al Poder Ejecutivo del estado, por conducto de sus dependencias y entidades, a los ayuntamientos, al Poder Judicial, a los organismos constitucionales autónomos del estado. Los familiares de los adultos mayores y las organizaciones de la sociedad civil coadyuvarán en su aplicación</w:t>
            </w:r>
          </w:p>
        </w:tc>
        <w:tc>
          <w:tcPr>
            <w:tcW w:w="4414" w:type="dxa"/>
            <w:vAlign w:val="center"/>
          </w:tcPr>
          <w:p w14:paraId="7C75BE6B" w14:textId="77777777" w:rsidR="00A903F2" w:rsidRPr="00A903F2" w:rsidRDefault="00A903F2" w:rsidP="00D87A53">
            <w:pPr>
              <w:spacing w:line="360" w:lineRule="auto"/>
              <w:jc w:val="both"/>
              <w:rPr>
                <w:rFonts w:ascii="Arial" w:hAnsi="Arial" w:cs="Arial"/>
                <w:b/>
                <w:bCs/>
                <w:sz w:val="24"/>
                <w:szCs w:val="24"/>
              </w:rPr>
            </w:pPr>
            <w:r w:rsidRPr="00A903F2">
              <w:rPr>
                <w:rFonts w:ascii="Arial" w:hAnsi="Arial" w:cs="Arial"/>
                <w:b/>
                <w:bCs/>
                <w:sz w:val="24"/>
                <w:szCs w:val="24"/>
              </w:rPr>
              <w:t xml:space="preserve">Artículo 3. Aplicación </w:t>
            </w:r>
          </w:p>
          <w:p w14:paraId="4C16FD8A" w14:textId="77777777" w:rsidR="00D87A53" w:rsidRPr="00F5790A" w:rsidRDefault="00D87A53" w:rsidP="00D87A53">
            <w:pPr>
              <w:spacing w:line="360" w:lineRule="auto"/>
              <w:jc w:val="both"/>
              <w:rPr>
                <w:rFonts w:ascii="Arial" w:hAnsi="Arial" w:cs="Arial"/>
                <w:sz w:val="24"/>
                <w:szCs w:val="24"/>
              </w:rPr>
            </w:pPr>
            <w:r w:rsidRPr="00F5790A">
              <w:rPr>
                <w:rFonts w:ascii="Arial" w:hAnsi="Arial" w:cs="Arial"/>
                <w:sz w:val="24"/>
                <w:szCs w:val="24"/>
              </w:rPr>
              <w:t>La aplicación, seguimiento y vigilancia de esta ley corresponde, en el ámbito de sus respectivas competencias, al Poder Ejecutivo del estado, por conducto de sus dependencias y entidades, a los ayuntamientos, al Poder Judicial, a los organismos constitucionales autónomos del estado. Los familiares de los adultos mayores y las organizaciones de la sociedad civil coadyuvarán en su aplicación.</w:t>
            </w:r>
          </w:p>
          <w:p w14:paraId="29097BEA" w14:textId="77777777" w:rsidR="00D87A53" w:rsidRPr="00F5790A" w:rsidRDefault="00D87A53" w:rsidP="00D87A53">
            <w:pPr>
              <w:spacing w:line="360" w:lineRule="auto"/>
              <w:jc w:val="both"/>
              <w:rPr>
                <w:rFonts w:ascii="Arial" w:hAnsi="Arial" w:cs="Arial"/>
                <w:sz w:val="24"/>
                <w:szCs w:val="24"/>
              </w:rPr>
            </w:pPr>
          </w:p>
          <w:p w14:paraId="6BE37F3F" w14:textId="77777777" w:rsidR="00D87A53" w:rsidRPr="00D8664C" w:rsidRDefault="00D87A53" w:rsidP="00D87A53">
            <w:pPr>
              <w:spacing w:line="360" w:lineRule="auto"/>
              <w:jc w:val="both"/>
              <w:rPr>
                <w:rFonts w:ascii="Arial" w:hAnsi="Arial" w:cs="Arial"/>
                <w:sz w:val="24"/>
                <w:szCs w:val="24"/>
              </w:rPr>
            </w:pPr>
            <w:r w:rsidRPr="00F5790A">
              <w:rPr>
                <w:rFonts w:ascii="Arial" w:hAnsi="Arial" w:cs="Arial"/>
                <w:b/>
                <w:bCs/>
                <w:sz w:val="24"/>
                <w:szCs w:val="24"/>
              </w:rPr>
              <w:t>Para la debida aplicación de la presente Ley; en el ámbito de sus respectivas competencias, se deberán adoptar las medidas pertinentes que garanticen la capacidad médica y jurídica del ejercicio del derecho autonómico e independiente para la participación de las personas adultas mayores</w:t>
            </w:r>
          </w:p>
          <w:p w14:paraId="1195796B" w14:textId="77777777" w:rsidR="00D87A53" w:rsidRPr="00D8664C" w:rsidRDefault="00D87A53" w:rsidP="003C4602">
            <w:pPr>
              <w:spacing w:line="360" w:lineRule="auto"/>
              <w:jc w:val="both"/>
              <w:rPr>
                <w:rFonts w:ascii="Arial" w:hAnsi="Arial" w:cs="Arial"/>
                <w:sz w:val="24"/>
                <w:szCs w:val="24"/>
              </w:rPr>
            </w:pPr>
          </w:p>
          <w:p w14:paraId="2E5FB625" w14:textId="77777777" w:rsidR="00D87A53" w:rsidRPr="000625CB" w:rsidRDefault="00D87A53" w:rsidP="00D87A53">
            <w:pPr>
              <w:spacing w:line="360" w:lineRule="auto"/>
              <w:jc w:val="both"/>
              <w:rPr>
                <w:rStyle w:val="Ninguno"/>
                <w:rFonts w:ascii="Arial" w:hAnsi="Arial" w:cs="Arial"/>
                <w:b/>
                <w:bCs/>
                <w:sz w:val="24"/>
                <w:szCs w:val="24"/>
              </w:rPr>
            </w:pPr>
          </w:p>
        </w:tc>
      </w:tr>
    </w:tbl>
    <w:p w14:paraId="04E6F9C2" w14:textId="77777777" w:rsidR="00BA5FBB" w:rsidRPr="000625CB" w:rsidRDefault="00BA5FBB" w:rsidP="00983445">
      <w:pPr>
        <w:pStyle w:val="Cuerpo"/>
        <w:spacing w:before="100" w:after="0" w:line="360" w:lineRule="auto"/>
        <w:jc w:val="both"/>
        <w:rPr>
          <w:rStyle w:val="Ninguno"/>
          <w:rFonts w:ascii="Arial" w:hAnsi="Arial" w:cs="Arial"/>
          <w:sz w:val="24"/>
          <w:szCs w:val="24"/>
        </w:rPr>
      </w:pPr>
    </w:p>
    <w:p w14:paraId="2C084751" w14:textId="77777777" w:rsidR="006E2802" w:rsidRPr="0016443B" w:rsidRDefault="00D568F4" w:rsidP="002040C6">
      <w:pPr>
        <w:pStyle w:val="Cuerpo"/>
        <w:spacing w:after="0" w:line="360" w:lineRule="auto"/>
        <w:jc w:val="both"/>
        <w:rPr>
          <w:rStyle w:val="Ninguno"/>
          <w:rFonts w:ascii="Arial" w:hAnsi="Arial" w:cs="Arial"/>
          <w:sz w:val="24"/>
          <w:szCs w:val="24"/>
        </w:rPr>
      </w:pPr>
      <w:r w:rsidRPr="000625CB">
        <w:rPr>
          <w:rStyle w:val="Ninguno"/>
          <w:rFonts w:ascii="Arial" w:hAnsi="Arial" w:cs="Arial"/>
          <w:sz w:val="24"/>
          <w:szCs w:val="24"/>
        </w:rPr>
        <w:t xml:space="preserve">      Por todo lo anterior, y con fundamento en los artículos 35 fracción I, de la Constitución Política Local; 16 y 22 de la Ley de Gobierno del Poder Legislativo, ambas del Estado de Yucatán, someto a consideración de esta Soberanía la presente iniciativa con proyecto de decreto que reforma</w:t>
      </w:r>
      <w:r w:rsidR="00E50130" w:rsidRPr="000625CB">
        <w:rPr>
          <w:rStyle w:val="Ninguno"/>
          <w:rFonts w:ascii="Arial" w:hAnsi="Arial" w:cs="Arial"/>
          <w:sz w:val="24"/>
          <w:szCs w:val="24"/>
        </w:rPr>
        <w:t xml:space="preserve"> </w:t>
      </w:r>
      <w:r w:rsidR="00E50130" w:rsidRPr="0016443B">
        <w:rPr>
          <w:rStyle w:val="Ninguno"/>
          <w:rFonts w:ascii="Arial" w:hAnsi="Arial" w:cs="Arial"/>
          <w:sz w:val="24"/>
          <w:szCs w:val="24"/>
          <w:u w:val="single"/>
        </w:rPr>
        <w:t xml:space="preserve">el artículo </w:t>
      </w:r>
      <w:r w:rsidR="002040C6" w:rsidRPr="0016443B">
        <w:rPr>
          <w:rStyle w:val="Ninguno"/>
          <w:rFonts w:ascii="Arial" w:hAnsi="Arial" w:cs="Arial"/>
          <w:sz w:val="24"/>
          <w:szCs w:val="24"/>
          <w:u w:val="single"/>
        </w:rPr>
        <w:t xml:space="preserve">425 del Código de Familia para el Estado de Yucatán y el artículo 3 </w:t>
      </w:r>
      <w:r w:rsidR="00DB4E82" w:rsidRPr="0016443B">
        <w:rPr>
          <w:rFonts w:ascii="Arial" w:hAnsi="Arial" w:cs="Arial"/>
          <w:sz w:val="24"/>
          <w:szCs w:val="24"/>
          <w:u w:val="single"/>
        </w:rPr>
        <w:t>de La Ley Para La Protección De Los Derechos De Los Adultos Mayores Del Estado De Yucatán</w:t>
      </w:r>
      <w:r w:rsidR="0016443B">
        <w:rPr>
          <w:rFonts w:ascii="Arial" w:hAnsi="Arial" w:cs="Arial"/>
          <w:sz w:val="24"/>
          <w:szCs w:val="24"/>
          <w:u w:val="single"/>
        </w:rPr>
        <w:t xml:space="preserve">. </w:t>
      </w:r>
    </w:p>
    <w:p w14:paraId="54A4BEF9" w14:textId="77777777" w:rsidR="003D085D" w:rsidRDefault="003D085D" w:rsidP="00983445">
      <w:pPr>
        <w:pStyle w:val="Cuerpo"/>
        <w:spacing w:line="360" w:lineRule="auto"/>
        <w:jc w:val="center"/>
        <w:rPr>
          <w:rStyle w:val="Ninguno"/>
          <w:rFonts w:ascii="Arial" w:hAnsi="Arial" w:cs="Arial"/>
          <w:b/>
          <w:bCs/>
          <w:sz w:val="24"/>
          <w:szCs w:val="24"/>
        </w:rPr>
      </w:pPr>
    </w:p>
    <w:p w14:paraId="4F3F3A69" w14:textId="77777777" w:rsidR="00287109" w:rsidRPr="000625CB" w:rsidRDefault="00287109" w:rsidP="00983445">
      <w:pPr>
        <w:pStyle w:val="Cuerpo"/>
        <w:spacing w:line="360" w:lineRule="auto"/>
        <w:jc w:val="center"/>
        <w:rPr>
          <w:rStyle w:val="Ninguno"/>
          <w:rFonts w:ascii="Arial" w:hAnsi="Arial" w:cs="Arial"/>
          <w:b/>
          <w:bCs/>
          <w:sz w:val="24"/>
          <w:szCs w:val="24"/>
        </w:rPr>
      </w:pPr>
      <w:r w:rsidRPr="000625CB">
        <w:rPr>
          <w:rStyle w:val="Ninguno"/>
          <w:rFonts w:ascii="Arial" w:hAnsi="Arial" w:cs="Arial"/>
          <w:b/>
          <w:bCs/>
          <w:sz w:val="24"/>
          <w:szCs w:val="24"/>
        </w:rPr>
        <w:t>Decreto</w:t>
      </w:r>
    </w:p>
    <w:p w14:paraId="47B0B3D2" w14:textId="77777777" w:rsidR="00652F33" w:rsidRPr="000625CB" w:rsidRDefault="00652F33" w:rsidP="00983445">
      <w:pPr>
        <w:pStyle w:val="Cuerpo"/>
        <w:spacing w:line="360" w:lineRule="auto"/>
        <w:jc w:val="center"/>
        <w:rPr>
          <w:rStyle w:val="Ninguno"/>
          <w:rFonts w:ascii="Arial" w:eastAsia="Arial" w:hAnsi="Arial" w:cs="Arial"/>
          <w:b/>
          <w:bCs/>
          <w:sz w:val="24"/>
          <w:szCs w:val="24"/>
        </w:rPr>
      </w:pPr>
    </w:p>
    <w:p w14:paraId="60EF6BC9" w14:textId="1931E997" w:rsidR="00287109" w:rsidRPr="000625CB" w:rsidRDefault="00333CFC" w:rsidP="00983445">
      <w:pPr>
        <w:pStyle w:val="Cuerpo"/>
        <w:spacing w:line="360" w:lineRule="auto"/>
        <w:jc w:val="both"/>
        <w:rPr>
          <w:rStyle w:val="Ninguno"/>
          <w:rFonts w:ascii="Arial" w:eastAsia="Arial" w:hAnsi="Arial" w:cs="Arial"/>
          <w:bCs/>
          <w:sz w:val="24"/>
          <w:szCs w:val="24"/>
        </w:rPr>
      </w:pPr>
      <w:r>
        <w:rPr>
          <w:rStyle w:val="Ninguno"/>
          <w:rFonts w:ascii="Arial" w:hAnsi="Arial" w:cs="Arial"/>
          <w:b/>
          <w:bCs/>
          <w:sz w:val="24"/>
          <w:szCs w:val="24"/>
        </w:rPr>
        <w:t xml:space="preserve">Artículo </w:t>
      </w:r>
      <w:r w:rsidR="00EA27CB">
        <w:rPr>
          <w:rStyle w:val="Ninguno"/>
          <w:rFonts w:ascii="Arial" w:hAnsi="Arial" w:cs="Arial"/>
          <w:b/>
          <w:bCs/>
          <w:sz w:val="24"/>
          <w:szCs w:val="24"/>
        </w:rPr>
        <w:t>único</w:t>
      </w:r>
      <w:r w:rsidR="00287109" w:rsidRPr="000625CB">
        <w:rPr>
          <w:rStyle w:val="Ninguno"/>
          <w:rFonts w:ascii="Arial" w:hAnsi="Arial" w:cs="Arial"/>
          <w:b/>
          <w:bCs/>
          <w:sz w:val="24"/>
          <w:szCs w:val="24"/>
        </w:rPr>
        <w:t xml:space="preserve">. </w:t>
      </w:r>
      <w:r w:rsidR="00EA27CB">
        <w:rPr>
          <w:rStyle w:val="Ninguno"/>
          <w:rFonts w:ascii="Arial" w:hAnsi="Arial" w:cs="Arial"/>
          <w:b/>
          <w:bCs/>
          <w:sz w:val="24"/>
          <w:szCs w:val="24"/>
        </w:rPr>
        <w:t>–</w:t>
      </w:r>
      <w:r w:rsidR="00287109" w:rsidRPr="000625CB">
        <w:rPr>
          <w:rStyle w:val="Ninguno"/>
          <w:rFonts w:ascii="Arial" w:hAnsi="Arial" w:cs="Arial"/>
          <w:b/>
          <w:bCs/>
          <w:sz w:val="24"/>
          <w:szCs w:val="24"/>
        </w:rPr>
        <w:t xml:space="preserve"> </w:t>
      </w:r>
      <w:r w:rsidR="00EA27CB">
        <w:rPr>
          <w:rStyle w:val="Ninguno"/>
          <w:rFonts w:ascii="Arial" w:hAnsi="Arial" w:cs="Arial"/>
          <w:bCs/>
          <w:sz w:val="24"/>
          <w:szCs w:val="24"/>
        </w:rPr>
        <w:t xml:space="preserve">Se reforman los artículos 425 del Código de Familia para el Estado de Yucatán y el artículo 3 de la Ley para la Protección de los Derechos de los Adultos Mayores del Estado de Yucatán, para quedar como sigue: </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8"/>
      </w:tblGrid>
      <w:tr w:rsidR="00D8664C" w:rsidRPr="000625CB" w14:paraId="7702FBA3" w14:textId="77777777" w:rsidTr="00E50130">
        <w:tc>
          <w:tcPr>
            <w:tcW w:w="5000" w:type="pct"/>
          </w:tcPr>
          <w:p w14:paraId="5C06D875" w14:textId="77777777" w:rsidR="00D8664C" w:rsidRPr="00D8664C" w:rsidRDefault="00D8664C" w:rsidP="00333CFC">
            <w:pPr>
              <w:spacing w:line="360" w:lineRule="auto"/>
              <w:ind w:left="318"/>
              <w:jc w:val="both"/>
              <w:rPr>
                <w:rFonts w:ascii="Arial" w:hAnsi="Arial" w:cs="Arial"/>
                <w:b/>
                <w:bCs/>
                <w:sz w:val="24"/>
                <w:szCs w:val="24"/>
              </w:rPr>
            </w:pPr>
            <w:r w:rsidRPr="00D8664C">
              <w:rPr>
                <w:rFonts w:ascii="Arial" w:hAnsi="Arial" w:cs="Arial"/>
                <w:b/>
                <w:bCs/>
                <w:sz w:val="24"/>
                <w:szCs w:val="24"/>
              </w:rPr>
              <w:t xml:space="preserve">Tutela de mayores de edad </w:t>
            </w:r>
          </w:p>
          <w:p w14:paraId="0DAAE390" w14:textId="77777777" w:rsidR="00D8664C" w:rsidRPr="00D8664C" w:rsidRDefault="00D8664C" w:rsidP="00333CFC">
            <w:pPr>
              <w:spacing w:line="360" w:lineRule="auto"/>
              <w:ind w:left="318"/>
              <w:jc w:val="both"/>
              <w:rPr>
                <w:rFonts w:ascii="Arial" w:hAnsi="Arial" w:cs="Arial"/>
                <w:sz w:val="24"/>
                <w:szCs w:val="24"/>
              </w:rPr>
            </w:pPr>
            <w:r w:rsidRPr="00D8664C">
              <w:rPr>
                <w:rFonts w:ascii="Arial" w:hAnsi="Arial" w:cs="Arial"/>
                <w:b/>
                <w:bCs/>
                <w:sz w:val="24"/>
                <w:szCs w:val="24"/>
              </w:rPr>
              <w:t>Artículo 425</w:t>
            </w:r>
            <w:r w:rsidRPr="00D8664C">
              <w:rPr>
                <w:rFonts w:ascii="Arial" w:hAnsi="Arial" w:cs="Arial"/>
                <w:sz w:val="24"/>
                <w:szCs w:val="24"/>
              </w:rPr>
              <w:t xml:space="preserve">.- Ninguna tutela en relación a una persona mayor de edad puede concederse sin que previamente el juez escuche a la persona con discapacidad intelectual, psicosocial o mental </w:t>
            </w:r>
            <w:r w:rsidRPr="00D8664C">
              <w:rPr>
                <w:rFonts w:ascii="Arial" w:hAnsi="Arial" w:cs="Arial"/>
                <w:b/>
                <w:bCs/>
                <w:sz w:val="24"/>
                <w:szCs w:val="24"/>
                <w:lang w:val="es-ES"/>
              </w:rPr>
              <w:t>utilizando términos claros y sencillos, auxiliándose incluso de medios tecnológicos de comunicación, sistemas de comunicación aumentativos y/o alternativos, para lo cual puede asistirse de un facilitador de comunicación, psicólogos, pedagogo, terapeutas y especialistas en comunicación humana, quienes auxilien y faciliten el proceso de la comunicación entre el juez y de quien se solicita la tutela</w:t>
            </w:r>
            <w:r w:rsidRPr="00D8664C">
              <w:rPr>
                <w:rFonts w:ascii="Arial" w:hAnsi="Arial" w:cs="Arial"/>
                <w:sz w:val="24"/>
                <w:szCs w:val="24"/>
                <w:lang w:val="es-ES"/>
              </w:rPr>
              <w:t xml:space="preserve">, </w:t>
            </w:r>
            <w:r w:rsidRPr="00D8664C">
              <w:rPr>
                <w:rFonts w:ascii="Arial" w:hAnsi="Arial" w:cs="Arial"/>
                <w:sz w:val="24"/>
                <w:szCs w:val="24"/>
              </w:rPr>
              <w:t>y evalué el grado de discapacidad y apoyos que requiere a través de un peritaje interdisciplinario realizado por dos o más profesionales de la salud mental y psicosocial, así como de educación.</w:t>
            </w:r>
          </w:p>
          <w:p w14:paraId="6FE8C3BB" w14:textId="77777777" w:rsidR="00D8664C" w:rsidRPr="00D8664C" w:rsidRDefault="00D8664C" w:rsidP="00333CFC">
            <w:pPr>
              <w:spacing w:line="360" w:lineRule="auto"/>
              <w:ind w:left="318"/>
              <w:jc w:val="both"/>
              <w:rPr>
                <w:rFonts w:ascii="Arial" w:hAnsi="Arial" w:cs="Arial"/>
                <w:sz w:val="24"/>
                <w:szCs w:val="24"/>
              </w:rPr>
            </w:pPr>
          </w:p>
          <w:p w14:paraId="4FA9D485" w14:textId="77777777" w:rsidR="00D8664C" w:rsidRPr="00D8664C" w:rsidRDefault="00D8664C" w:rsidP="00333CFC">
            <w:pPr>
              <w:spacing w:line="360" w:lineRule="auto"/>
              <w:ind w:left="318"/>
              <w:jc w:val="both"/>
              <w:rPr>
                <w:rFonts w:ascii="Arial" w:hAnsi="Arial" w:cs="Arial"/>
                <w:sz w:val="24"/>
                <w:szCs w:val="24"/>
              </w:rPr>
            </w:pPr>
            <w:r w:rsidRPr="00D8664C">
              <w:rPr>
                <w:rFonts w:ascii="Arial" w:hAnsi="Arial" w:cs="Arial"/>
                <w:sz w:val="24"/>
                <w:szCs w:val="24"/>
              </w:rPr>
              <w:lastRenderedPageBreak/>
              <w:t>Lo dispuesto en el párrafo anterior no aplica respecto de las personas que desde la minoría de edad se encuentran bajo la tutela y al cumplir dieciocho años no cuentan aún con capacidad de ejercicio, pues en este caso, quienes ejercen la patria potestad continúan desempeñando la tutela temporalmente, hasta en tanto el juez le designe tutor interino o definitivo al pupilo, una vez promovida la declaración del estado de interdicción.</w:t>
            </w:r>
          </w:p>
          <w:p w14:paraId="414AC842" w14:textId="77777777" w:rsidR="00D8664C" w:rsidRPr="00D8664C" w:rsidRDefault="00D8664C" w:rsidP="00333CFC">
            <w:pPr>
              <w:spacing w:line="360" w:lineRule="auto"/>
              <w:ind w:left="318"/>
              <w:jc w:val="both"/>
              <w:rPr>
                <w:rFonts w:ascii="Arial" w:hAnsi="Arial" w:cs="Arial"/>
                <w:sz w:val="24"/>
                <w:szCs w:val="24"/>
              </w:rPr>
            </w:pPr>
          </w:p>
          <w:p w14:paraId="6CF172ED" w14:textId="77777777" w:rsidR="00D8664C" w:rsidRDefault="00D8664C" w:rsidP="00333CFC">
            <w:pPr>
              <w:spacing w:line="360" w:lineRule="auto"/>
              <w:ind w:left="318"/>
              <w:jc w:val="both"/>
              <w:rPr>
                <w:rFonts w:ascii="Arial" w:hAnsi="Arial" w:cs="Arial"/>
                <w:sz w:val="24"/>
                <w:szCs w:val="24"/>
              </w:rPr>
            </w:pPr>
            <w:r w:rsidRPr="00D8664C">
              <w:rPr>
                <w:rFonts w:ascii="Arial" w:hAnsi="Arial" w:cs="Arial"/>
                <w:b/>
                <w:bCs/>
                <w:sz w:val="24"/>
                <w:szCs w:val="24"/>
              </w:rPr>
              <w:t>La misma observancia deberá aplicarse cuando de quien se solicite la tutoría sea una persona adulto mayor, el juez dictará las medidas que estime pertinentes para garantizar su participación en el procedimiento</w:t>
            </w:r>
            <w:r w:rsidRPr="00D8664C">
              <w:rPr>
                <w:rFonts w:ascii="Arial" w:hAnsi="Arial" w:cs="Arial"/>
                <w:sz w:val="24"/>
                <w:szCs w:val="24"/>
              </w:rPr>
              <w:t>.</w:t>
            </w:r>
          </w:p>
          <w:p w14:paraId="05D2DDF8" w14:textId="77777777" w:rsidR="00D8664C" w:rsidRPr="00D8664C" w:rsidRDefault="00D8664C" w:rsidP="00333CFC">
            <w:pPr>
              <w:spacing w:line="360" w:lineRule="auto"/>
              <w:ind w:left="318"/>
              <w:jc w:val="both"/>
              <w:rPr>
                <w:rFonts w:ascii="Arial" w:hAnsi="Arial" w:cs="Arial"/>
                <w:sz w:val="24"/>
                <w:szCs w:val="24"/>
              </w:rPr>
            </w:pPr>
          </w:p>
          <w:p w14:paraId="623928CA" w14:textId="77777777" w:rsidR="00F5790A" w:rsidRPr="00F5790A" w:rsidRDefault="00F5790A" w:rsidP="00333CFC">
            <w:pPr>
              <w:spacing w:line="360" w:lineRule="auto"/>
              <w:ind w:left="318"/>
              <w:jc w:val="both"/>
              <w:rPr>
                <w:rFonts w:ascii="Arial" w:hAnsi="Arial" w:cs="Arial"/>
                <w:b/>
                <w:bCs/>
                <w:sz w:val="24"/>
                <w:szCs w:val="24"/>
              </w:rPr>
            </w:pPr>
            <w:r w:rsidRPr="00F5790A">
              <w:rPr>
                <w:rFonts w:ascii="Arial" w:hAnsi="Arial" w:cs="Arial"/>
                <w:b/>
                <w:bCs/>
                <w:sz w:val="24"/>
                <w:szCs w:val="24"/>
              </w:rPr>
              <w:t xml:space="preserve">Artículo 3. Aplicación </w:t>
            </w:r>
          </w:p>
          <w:p w14:paraId="45DEC053" w14:textId="77777777" w:rsidR="00F5790A" w:rsidRPr="00F5790A" w:rsidRDefault="00F5790A" w:rsidP="00333CFC">
            <w:pPr>
              <w:spacing w:line="360" w:lineRule="auto"/>
              <w:ind w:left="318"/>
              <w:jc w:val="both"/>
              <w:rPr>
                <w:rFonts w:ascii="Arial" w:hAnsi="Arial" w:cs="Arial"/>
                <w:sz w:val="24"/>
                <w:szCs w:val="24"/>
              </w:rPr>
            </w:pPr>
            <w:r w:rsidRPr="00F5790A">
              <w:rPr>
                <w:rFonts w:ascii="Arial" w:hAnsi="Arial" w:cs="Arial"/>
                <w:sz w:val="24"/>
                <w:szCs w:val="24"/>
              </w:rPr>
              <w:t>La aplicación, seguimiento y vigilancia de esta ley corresponde, en el ámbito de sus respectivas competencias, al Poder Ejecutivo del estado, por conducto de sus dependencias y entidades, a los ayuntamientos, al Poder Judicial, a los organismos constitucionales autónomos del estado. Los familiares de los adultos mayores y las organizaciones de la sociedad civil coadyuvarán en su aplicación.</w:t>
            </w:r>
          </w:p>
          <w:p w14:paraId="0D84FC0F" w14:textId="77777777" w:rsidR="00F5790A" w:rsidRPr="00F5790A" w:rsidRDefault="00F5790A" w:rsidP="00333CFC">
            <w:pPr>
              <w:spacing w:line="360" w:lineRule="auto"/>
              <w:ind w:left="318"/>
              <w:jc w:val="both"/>
              <w:rPr>
                <w:rFonts w:ascii="Arial" w:hAnsi="Arial" w:cs="Arial"/>
                <w:sz w:val="24"/>
                <w:szCs w:val="24"/>
              </w:rPr>
            </w:pPr>
          </w:p>
          <w:p w14:paraId="41C67F00" w14:textId="77777777" w:rsidR="00D8664C" w:rsidRPr="00D8664C" w:rsidRDefault="00F5790A" w:rsidP="00333CFC">
            <w:pPr>
              <w:pStyle w:val="Cuerpo"/>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318"/>
              <w:jc w:val="both"/>
              <w:rPr>
                <w:rStyle w:val="Ninguno"/>
                <w:rFonts w:ascii="Arial" w:hAnsi="Arial" w:cs="Arial"/>
                <w:sz w:val="24"/>
                <w:szCs w:val="24"/>
              </w:rPr>
            </w:pPr>
            <w:r w:rsidRPr="00F5790A">
              <w:rPr>
                <w:rFonts w:ascii="Arial" w:hAnsi="Arial" w:cs="Arial"/>
                <w:b/>
                <w:bCs/>
                <w:sz w:val="24"/>
                <w:szCs w:val="24"/>
              </w:rPr>
              <w:t>Para la debida aplicación de la presente Ley; en el ámbito de sus respectivas competencias, se deberán adoptar las medidas pertinentes que garanticen la capacidad médica y jurídica del ejercicio del derecho autonómico e independiente para la participación de las personas adultas mayores</w:t>
            </w:r>
          </w:p>
        </w:tc>
      </w:tr>
    </w:tbl>
    <w:p w14:paraId="487C97D9" w14:textId="77777777" w:rsidR="00DC7BA9" w:rsidRPr="000625CB" w:rsidRDefault="00DC7BA9" w:rsidP="00287109">
      <w:pPr>
        <w:pStyle w:val="Cuerpo"/>
        <w:spacing w:line="360" w:lineRule="auto"/>
        <w:jc w:val="center"/>
        <w:rPr>
          <w:rStyle w:val="Ninguno"/>
          <w:rFonts w:ascii="Arial" w:hAnsi="Arial" w:cs="Arial"/>
          <w:b/>
          <w:bCs/>
          <w:sz w:val="24"/>
          <w:szCs w:val="24"/>
        </w:rPr>
      </w:pPr>
    </w:p>
    <w:p w14:paraId="6EDA2E94" w14:textId="77777777" w:rsidR="00287109" w:rsidRPr="000625CB" w:rsidRDefault="00287109" w:rsidP="00287109">
      <w:pPr>
        <w:pStyle w:val="Cuerpo"/>
        <w:spacing w:line="360" w:lineRule="auto"/>
        <w:jc w:val="center"/>
        <w:rPr>
          <w:rStyle w:val="Ninguno"/>
          <w:rFonts w:ascii="Arial" w:hAnsi="Arial" w:cs="Arial"/>
          <w:b/>
          <w:bCs/>
          <w:sz w:val="24"/>
          <w:szCs w:val="24"/>
        </w:rPr>
      </w:pPr>
      <w:r w:rsidRPr="000625CB">
        <w:rPr>
          <w:rStyle w:val="Ninguno"/>
          <w:rFonts w:ascii="Arial" w:hAnsi="Arial" w:cs="Arial"/>
          <w:b/>
          <w:bCs/>
          <w:sz w:val="24"/>
          <w:szCs w:val="24"/>
        </w:rPr>
        <w:t>Artículos transitorios.</w:t>
      </w:r>
    </w:p>
    <w:p w14:paraId="4339E04C" w14:textId="77777777" w:rsidR="00652F33" w:rsidRPr="000625CB" w:rsidRDefault="00652F33" w:rsidP="00287109">
      <w:pPr>
        <w:pStyle w:val="Cuerpo"/>
        <w:spacing w:line="360" w:lineRule="auto"/>
        <w:jc w:val="center"/>
        <w:rPr>
          <w:rStyle w:val="Ninguno"/>
          <w:rFonts w:ascii="Arial" w:eastAsia="Arial" w:hAnsi="Arial" w:cs="Arial"/>
          <w:b/>
          <w:bCs/>
          <w:sz w:val="24"/>
          <w:szCs w:val="24"/>
        </w:rPr>
      </w:pPr>
    </w:p>
    <w:p w14:paraId="1E5E9941" w14:textId="77777777" w:rsidR="00287109" w:rsidRPr="000625CB" w:rsidRDefault="00287109" w:rsidP="00287109">
      <w:pPr>
        <w:pStyle w:val="Cuerpo"/>
        <w:spacing w:line="360" w:lineRule="auto"/>
        <w:jc w:val="both"/>
        <w:rPr>
          <w:rStyle w:val="Ninguno"/>
          <w:rFonts w:ascii="Arial" w:eastAsia="Arial" w:hAnsi="Arial" w:cs="Arial"/>
          <w:b/>
          <w:bCs/>
          <w:sz w:val="24"/>
          <w:szCs w:val="24"/>
        </w:rPr>
      </w:pPr>
      <w:r w:rsidRPr="000625CB">
        <w:rPr>
          <w:rStyle w:val="Ninguno"/>
          <w:rFonts w:ascii="Arial" w:hAnsi="Arial" w:cs="Arial"/>
          <w:b/>
          <w:bCs/>
          <w:sz w:val="24"/>
          <w:szCs w:val="24"/>
        </w:rPr>
        <w:lastRenderedPageBreak/>
        <w:t xml:space="preserve">Artículo </w:t>
      </w:r>
      <w:r w:rsidR="00C04942" w:rsidRPr="000625CB">
        <w:rPr>
          <w:rStyle w:val="Ninguno"/>
          <w:rFonts w:ascii="Arial" w:hAnsi="Arial" w:cs="Arial"/>
          <w:b/>
          <w:bCs/>
          <w:sz w:val="24"/>
          <w:szCs w:val="24"/>
        </w:rPr>
        <w:t>primero. -</w:t>
      </w:r>
      <w:r w:rsidR="00652F33" w:rsidRPr="000625CB">
        <w:rPr>
          <w:rStyle w:val="Ninguno"/>
          <w:rFonts w:ascii="Arial" w:hAnsi="Arial" w:cs="Arial"/>
          <w:b/>
          <w:bCs/>
          <w:sz w:val="24"/>
          <w:szCs w:val="24"/>
        </w:rPr>
        <w:t xml:space="preserve"> </w:t>
      </w:r>
      <w:r w:rsidRPr="000625CB">
        <w:rPr>
          <w:rStyle w:val="Ninguno"/>
          <w:rFonts w:ascii="Arial" w:hAnsi="Arial" w:cs="Arial"/>
          <w:sz w:val="24"/>
          <w:szCs w:val="24"/>
        </w:rPr>
        <w:t>El presente decreto entrará en vigor al día siguiente de su publicación en el Diario Oficial del Gobierno del Estado de Yucatán.</w:t>
      </w:r>
      <w:r w:rsidRPr="000625CB">
        <w:rPr>
          <w:rStyle w:val="Ninguno"/>
          <w:rFonts w:ascii="Arial" w:hAnsi="Arial" w:cs="Arial"/>
          <w:b/>
          <w:bCs/>
          <w:sz w:val="24"/>
          <w:szCs w:val="24"/>
        </w:rPr>
        <w:t xml:space="preserve"> </w:t>
      </w:r>
    </w:p>
    <w:p w14:paraId="2E2A1DB1" w14:textId="77777777" w:rsidR="00287109" w:rsidRPr="000625CB" w:rsidRDefault="00287109" w:rsidP="00287109">
      <w:pPr>
        <w:pStyle w:val="Cuerpo"/>
        <w:spacing w:line="360" w:lineRule="auto"/>
        <w:jc w:val="both"/>
        <w:rPr>
          <w:rStyle w:val="Ninguno"/>
          <w:rFonts w:ascii="Arial" w:eastAsia="Arial" w:hAnsi="Arial" w:cs="Arial"/>
          <w:b/>
          <w:bCs/>
          <w:sz w:val="24"/>
          <w:szCs w:val="24"/>
        </w:rPr>
      </w:pPr>
      <w:r w:rsidRPr="000625CB">
        <w:rPr>
          <w:rStyle w:val="Ninguno"/>
          <w:rFonts w:ascii="Arial" w:hAnsi="Arial" w:cs="Arial"/>
          <w:b/>
          <w:bCs/>
          <w:sz w:val="24"/>
          <w:szCs w:val="24"/>
        </w:rPr>
        <w:t xml:space="preserve">Artículo </w:t>
      </w:r>
      <w:r w:rsidR="00C04942" w:rsidRPr="000625CB">
        <w:rPr>
          <w:rStyle w:val="Ninguno"/>
          <w:rFonts w:ascii="Arial" w:hAnsi="Arial" w:cs="Arial"/>
          <w:b/>
          <w:bCs/>
          <w:sz w:val="24"/>
          <w:szCs w:val="24"/>
        </w:rPr>
        <w:t>segundo. -</w:t>
      </w:r>
      <w:r w:rsidR="00652F33" w:rsidRPr="000625CB">
        <w:rPr>
          <w:rStyle w:val="Ninguno"/>
          <w:rFonts w:ascii="Arial" w:hAnsi="Arial" w:cs="Arial"/>
          <w:b/>
          <w:bCs/>
          <w:sz w:val="24"/>
          <w:szCs w:val="24"/>
        </w:rPr>
        <w:t xml:space="preserve"> </w:t>
      </w:r>
      <w:r w:rsidR="00923BFE" w:rsidRPr="000625CB">
        <w:rPr>
          <w:rFonts w:ascii="Arial" w:hAnsi="Arial" w:cs="Arial"/>
          <w:sz w:val="24"/>
          <w:szCs w:val="24"/>
        </w:rPr>
        <w:t>Se derogan todas las disposiciones de igual o menor rango que se opongan al contenido del presento decreto</w:t>
      </w:r>
    </w:p>
    <w:p w14:paraId="20C1E94B" w14:textId="77777777" w:rsidR="00287109" w:rsidRPr="000625CB" w:rsidRDefault="00287109" w:rsidP="0073597D">
      <w:pPr>
        <w:pStyle w:val="Cuerpo"/>
        <w:spacing w:line="360" w:lineRule="auto"/>
        <w:jc w:val="both"/>
        <w:rPr>
          <w:rStyle w:val="Ninguno"/>
          <w:rFonts w:ascii="Arial" w:hAnsi="Arial" w:cs="Arial"/>
          <w:b/>
          <w:bCs/>
          <w:sz w:val="24"/>
          <w:szCs w:val="24"/>
        </w:rPr>
      </w:pPr>
      <w:r w:rsidRPr="000625CB">
        <w:rPr>
          <w:rStyle w:val="Ninguno"/>
          <w:rFonts w:ascii="Arial" w:hAnsi="Arial" w:cs="Arial"/>
          <w:b/>
          <w:bCs/>
          <w:sz w:val="24"/>
          <w:szCs w:val="24"/>
        </w:rPr>
        <w:t xml:space="preserve">Protesto lo necesario en la Ciudad de Mérida, Yucatán, México, a </w:t>
      </w:r>
      <w:r w:rsidR="00985C80">
        <w:rPr>
          <w:rStyle w:val="Ninguno"/>
          <w:rFonts w:ascii="Arial" w:hAnsi="Arial" w:cs="Arial"/>
          <w:b/>
          <w:bCs/>
          <w:sz w:val="24"/>
          <w:szCs w:val="24"/>
        </w:rPr>
        <w:t>12</w:t>
      </w:r>
      <w:r w:rsidRPr="000625CB">
        <w:rPr>
          <w:rStyle w:val="Ninguno"/>
          <w:rFonts w:ascii="Arial" w:hAnsi="Arial" w:cs="Arial"/>
          <w:b/>
          <w:bCs/>
          <w:sz w:val="24"/>
          <w:szCs w:val="24"/>
        </w:rPr>
        <w:t xml:space="preserve"> de </w:t>
      </w:r>
      <w:proofErr w:type="gramStart"/>
      <w:r w:rsidR="00985C80">
        <w:rPr>
          <w:rStyle w:val="Ninguno"/>
          <w:rFonts w:ascii="Arial" w:hAnsi="Arial" w:cs="Arial"/>
          <w:b/>
          <w:bCs/>
          <w:sz w:val="24"/>
          <w:szCs w:val="24"/>
        </w:rPr>
        <w:t>Febrero</w:t>
      </w:r>
      <w:proofErr w:type="gramEnd"/>
      <w:r w:rsidRPr="000625CB">
        <w:rPr>
          <w:rStyle w:val="Ninguno"/>
          <w:rFonts w:ascii="Arial" w:hAnsi="Arial" w:cs="Arial"/>
          <w:b/>
          <w:bCs/>
          <w:sz w:val="24"/>
          <w:szCs w:val="24"/>
        </w:rPr>
        <w:t xml:space="preserve"> de 202</w:t>
      </w:r>
      <w:r w:rsidR="00985C80">
        <w:rPr>
          <w:rStyle w:val="Ninguno"/>
          <w:rFonts w:ascii="Arial" w:hAnsi="Arial" w:cs="Arial"/>
          <w:b/>
          <w:bCs/>
          <w:sz w:val="24"/>
          <w:szCs w:val="24"/>
        </w:rPr>
        <w:t>5</w:t>
      </w:r>
      <w:r w:rsidRPr="000625CB">
        <w:rPr>
          <w:rStyle w:val="Ninguno"/>
          <w:rFonts w:ascii="Arial" w:hAnsi="Arial" w:cs="Arial"/>
          <w:b/>
          <w:bCs/>
          <w:sz w:val="24"/>
          <w:szCs w:val="24"/>
        </w:rPr>
        <w:t xml:space="preserve">. </w:t>
      </w:r>
    </w:p>
    <w:p w14:paraId="4A1F9B7E" w14:textId="77777777" w:rsidR="00D86525" w:rsidRPr="000625CB" w:rsidRDefault="00D86525" w:rsidP="00D86525">
      <w:pPr>
        <w:pStyle w:val="Cuerpo"/>
        <w:spacing w:before="100" w:after="0" w:line="360" w:lineRule="auto"/>
        <w:jc w:val="both"/>
        <w:rPr>
          <w:rStyle w:val="Ninguno"/>
          <w:rFonts w:ascii="Arial" w:eastAsia="Arial" w:hAnsi="Arial" w:cs="Arial"/>
          <w:b/>
          <w:bCs/>
          <w:sz w:val="24"/>
          <w:szCs w:val="24"/>
          <w:lang w:val="es-ES"/>
        </w:rPr>
      </w:pPr>
    </w:p>
    <w:p w14:paraId="399D01EC" w14:textId="77777777" w:rsidR="00C17552" w:rsidRDefault="00C17552" w:rsidP="00012054">
      <w:pPr>
        <w:tabs>
          <w:tab w:val="left" w:pos="3588"/>
        </w:tabs>
        <w:jc w:val="center"/>
        <w:rPr>
          <w:rFonts w:ascii="Arial" w:hAnsi="Arial" w:cs="Arial"/>
          <w:sz w:val="24"/>
          <w:szCs w:val="24"/>
          <w:lang w:val="es-ES"/>
        </w:rPr>
      </w:pPr>
    </w:p>
    <w:p w14:paraId="575F89B5" w14:textId="77777777" w:rsidR="00012054" w:rsidRDefault="00012054" w:rsidP="00012054">
      <w:pPr>
        <w:tabs>
          <w:tab w:val="left" w:pos="3588"/>
        </w:tabs>
        <w:jc w:val="center"/>
        <w:rPr>
          <w:rFonts w:ascii="Arial" w:hAnsi="Arial" w:cs="Arial"/>
          <w:sz w:val="24"/>
          <w:szCs w:val="24"/>
          <w:lang w:val="es-ES"/>
        </w:rPr>
      </w:pPr>
    </w:p>
    <w:p w14:paraId="0732CFD5" w14:textId="77777777" w:rsidR="00012054" w:rsidRPr="00985C80" w:rsidRDefault="00985C80" w:rsidP="00012054">
      <w:pPr>
        <w:tabs>
          <w:tab w:val="left" w:pos="3588"/>
        </w:tabs>
        <w:jc w:val="center"/>
        <w:rPr>
          <w:rFonts w:ascii="Arial" w:hAnsi="Arial" w:cs="Arial"/>
          <w:b/>
          <w:bCs/>
          <w:sz w:val="24"/>
          <w:szCs w:val="24"/>
          <w:lang w:val="es-ES"/>
        </w:rPr>
      </w:pPr>
      <w:r w:rsidRPr="00985C80">
        <w:rPr>
          <w:rFonts w:ascii="Arial" w:hAnsi="Arial" w:cs="Arial"/>
          <w:b/>
          <w:bCs/>
          <w:sz w:val="24"/>
          <w:szCs w:val="24"/>
          <w:lang w:val="es-ES"/>
        </w:rPr>
        <w:t xml:space="preserve">DIPUTADO </w:t>
      </w:r>
      <w:r w:rsidR="00012054" w:rsidRPr="00985C80">
        <w:rPr>
          <w:rFonts w:ascii="Arial" w:hAnsi="Arial" w:cs="Arial"/>
          <w:b/>
          <w:bCs/>
          <w:sz w:val="24"/>
          <w:szCs w:val="24"/>
          <w:lang w:val="es-ES"/>
        </w:rPr>
        <w:t xml:space="preserve">JOSE JULIAN BUSTILLOS MEDINA </w:t>
      </w:r>
    </w:p>
    <w:p w14:paraId="435BC125" w14:textId="77777777" w:rsidR="00012054" w:rsidRPr="00985C80" w:rsidRDefault="00012054" w:rsidP="00012054">
      <w:pPr>
        <w:tabs>
          <w:tab w:val="left" w:pos="3588"/>
        </w:tabs>
        <w:jc w:val="center"/>
        <w:rPr>
          <w:rFonts w:ascii="Arial" w:hAnsi="Arial" w:cs="Arial"/>
          <w:b/>
          <w:bCs/>
          <w:sz w:val="24"/>
          <w:szCs w:val="24"/>
          <w:lang w:val="es-ES"/>
        </w:rPr>
      </w:pPr>
      <w:r w:rsidRPr="00985C80">
        <w:rPr>
          <w:rFonts w:ascii="Arial" w:hAnsi="Arial" w:cs="Arial"/>
          <w:b/>
          <w:bCs/>
          <w:sz w:val="24"/>
          <w:szCs w:val="24"/>
          <w:lang w:val="es-ES"/>
        </w:rPr>
        <w:t>FRACCIÓN PARLA</w:t>
      </w:r>
      <w:r w:rsidR="00985C80" w:rsidRPr="00985C80">
        <w:rPr>
          <w:rFonts w:ascii="Arial" w:hAnsi="Arial" w:cs="Arial"/>
          <w:b/>
          <w:bCs/>
          <w:sz w:val="24"/>
          <w:szCs w:val="24"/>
          <w:lang w:val="es-ES"/>
        </w:rPr>
        <w:t>MENTARIA DEL PARTIDO MORENA</w:t>
      </w:r>
    </w:p>
    <w:sectPr w:rsidR="00012054" w:rsidRPr="00985C80" w:rsidSect="007207B5">
      <w:headerReference w:type="default" r:id="rId8"/>
      <w:footerReference w:type="default" r:id="rId9"/>
      <w:pgSz w:w="12240" w:h="15840"/>
      <w:pgMar w:top="2806" w:right="1701" w:bottom="1417" w:left="1701" w:header="141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5ACF8" w14:textId="77777777" w:rsidR="00BE2F97" w:rsidRDefault="00BE2F97" w:rsidP="007207B5">
      <w:pPr>
        <w:spacing w:after="0" w:line="240" w:lineRule="auto"/>
      </w:pPr>
      <w:r>
        <w:separator/>
      </w:r>
    </w:p>
  </w:endnote>
  <w:endnote w:type="continuationSeparator" w:id="0">
    <w:p w14:paraId="3590FA90" w14:textId="77777777" w:rsidR="00BE2F97" w:rsidRDefault="00BE2F97" w:rsidP="007207B5">
      <w:pPr>
        <w:spacing w:after="0" w:line="240" w:lineRule="auto"/>
      </w:pPr>
      <w:r>
        <w:continuationSeparator/>
      </w:r>
    </w:p>
  </w:endnote>
  <w:endnote w:type="continuationNotice" w:id="1">
    <w:p w14:paraId="2F8892C4" w14:textId="77777777" w:rsidR="00BE2F97" w:rsidRDefault="00BE2F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67A4" w14:textId="77777777" w:rsidR="00A252B4" w:rsidRDefault="00A252B4">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37251F">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37251F">
      <w:rPr>
        <w:noProof/>
        <w:color w:val="323E4F" w:themeColor="text2" w:themeShade="BF"/>
        <w:sz w:val="24"/>
        <w:szCs w:val="24"/>
      </w:rPr>
      <w:t>10</w:t>
    </w:r>
    <w:r>
      <w:rPr>
        <w:color w:val="323E4F" w:themeColor="text2" w:themeShade="BF"/>
        <w:sz w:val="24"/>
        <w:szCs w:val="24"/>
      </w:rPr>
      <w:fldChar w:fldCharType="end"/>
    </w:r>
  </w:p>
  <w:p w14:paraId="34E503F4" w14:textId="77777777" w:rsidR="00A252B4" w:rsidRDefault="00A252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BDE8F" w14:textId="77777777" w:rsidR="00BE2F97" w:rsidRDefault="00BE2F97" w:rsidP="007207B5">
      <w:pPr>
        <w:spacing w:after="0" w:line="240" w:lineRule="auto"/>
      </w:pPr>
      <w:r>
        <w:separator/>
      </w:r>
    </w:p>
  </w:footnote>
  <w:footnote w:type="continuationSeparator" w:id="0">
    <w:p w14:paraId="498C9197" w14:textId="77777777" w:rsidR="00BE2F97" w:rsidRDefault="00BE2F97" w:rsidP="007207B5">
      <w:pPr>
        <w:spacing w:after="0" w:line="240" w:lineRule="auto"/>
      </w:pPr>
      <w:r>
        <w:continuationSeparator/>
      </w:r>
    </w:p>
  </w:footnote>
  <w:footnote w:type="continuationNotice" w:id="1">
    <w:p w14:paraId="712A027B" w14:textId="77777777" w:rsidR="00BE2F97" w:rsidRDefault="00BE2F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5CA93" w14:textId="77777777" w:rsidR="007207B5" w:rsidRDefault="007207B5">
    <w:pPr>
      <w:pStyle w:val="Encabezado"/>
    </w:pPr>
    <w:r>
      <w:rPr>
        <w:noProof/>
        <w:lang w:eastAsia="es-MX"/>
      </w:rPr>
      <w:drawing>
        <wp:anchor distT="0" distB="0" distL="114300" distR="114300" simplePos="0" relativeHeight="251658240" behindDoc="1" locked="0" layoutInCell="1" allowOverlap="1" wp14:anchorId="7776B8E7" wp14:editId="1C728CE8">
          <wp:simplePos x="0" y="0"/>
          <wp:positionH relativeFrom="page">
            <wp:align>left</wp:align>
          </wp:positionH>
          <wp:positionV relativeFrom="paragraph">
            <wp:posOffset>-898759</wp:posOffset>
          </wp:positionV>
          <wp:extent cx="7767021" cy="10055063"/>
          <wp:effectExtent l="0" t="0" r="5715" b="3810"/>
          <wp:wrapNone/>
          <wp:docPr id="137780323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021" cy="1005506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4693"/>
    <w:multiLevelType w:val="hybridMultilevel"/>
    <w:tmpl w:val="5576F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709C0"/>
    <w:multiLevelType w:val="hybridMultilevel"/>
    <w:tmpl w:val="8346B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E4275C"/>
    <w:multiLevelType w:val="hybridMultilevel"/>
    <w:tmpl w:val="5FFA8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E63B14"/>
    <w:multiLevelType w:val="hybridMultilevel"/>
    <w:tmpl w:val="F46C6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345634"/>
    <w:multiLevelType w:val="hybridMultilevel"/>
    <w:tmpl w:val="7F28C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1090790">
    <w:abstractNumId w:val="4"/>
  </w:num>
  <w:num w:numId="2" w16cid:durableId="1365520820">
    <w:abstractNumId w:val="0"/>
  </w:num>
  <w:num w:numId="3" w16cid:durableId="1133596532">
    <w:abstractNumId w:val="2"/>
  </w:num>
  <w:num w:numId="4" w16cid:durableId="1337224882">
    <w:abstractNumId w:val="3"/>
  </w:num>
  <w:num w:numId="5" w16cid:durableId="1723401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38C"/>
    <w:rsid w:val="00000147"/>
    <w:rsid w:val="00012054"/>
    <w:rsid w:val="00013E03"/>
    <w:rsid w:val="000266C8"/>
    <w:rsid w:val="00032527"/>
    <w:rsid w:val="000625CB"/>
    <w:rsid w:val="00075BAB"/>
    <w:rsid w:val="00076081"/>
    <w:rsid w:val="00076EC2"/>
    <w:rsid w:val="00084D7A"/>
    <w:rsid w:val="000867C2"/>
    <w:rsid w:val="0009192B"/>
    <w:rsid w:val="00096A19"/>
    <w:rsid w:val="000A7ABA"/>
    <w:rsid w:val="000B5500"/>
    <w:rsid w:val="000B704B"/>
    <w:rsid w:val="000C3408"/>
    <w:rsid w:val="000C3F0B"/>
    <w:rsid w:val="000C6BC5"/>
    <w:rsid w:val="000C7776"/>
    <w:rsid w:val="000D6ABE"/>
    <w:rsid w:val="000E0A4A"/>
    <w:rsid w:val="000E3E5B"/>
    <w:rsid w:val="000F288C"/>
    <w:rsid w:val="0012328C"/>
    <w:rsid w:val="00137B96"/>
    <w:rsid w:val="00144FBD"/>
    <w:rsid w:val="001470F5"/>
    <w:rsid w:val="00151CCA"/>
    <w:rsid w:val="00160F5C"/>
    <w:rsid w:val="001640F9"/>
    <w:rsid w:val="0016443B"/>
    <w:rsid w:val="00164A59"/>
    <w:rsid w:val="0016777A"/>
    <w:rsid w:val="00173AAF"/>
    <w:rsid w:val="001772E5"/>
    <w:rsid w:val="00185221"/>
    <w:rsid w:val="001862B6"/>
    <w:rsid w:val="00193816"/>
    <w:rsid w:val="00193DA2"/>
    <w:rsid w:val="001A576E"/>
    <w:rsid w:val="001B691C"/>
    <w:rsid w:val="001C02FF"/>
    <w:rsid w:val="001C30B8"/>
    <w:rsid w:val="001D1E8F"/>
    <w:rsid w:val="001D60B2"/>
    <w:rsid w:val="001E039C"/>
    <w:rsid w:val="00203E82"/>
    <w:rsid w:val="002040C6"/>
    <w:rsid w:val="00211DF6"/>
    <w:rsid w:val="002159DE"/>
    <w:rsid w:val="00244733"/>
    <w:rsid w:val="00254FBE"/>
    <w:rsid w:val="00260997"/>
    <w:rsid w:val="0026734F"/>
    <w:rsid w:val="00267EEA"/>
    <w:rsid w:val="00287109"/>
    <w:rsid w:val="00290344"/>
    <w:rsid w:val="0029353F"/>
    <w:rsid w:val="0029591E"/>
    <w:rsid w:val="00297165"/>
    <w:rsid w:val="002A163E"/>
    <w:rsid w:val="002A21E0"/>
    <w:rsid w:val="002B0357"/>
    <w:rsid w:val="002C59F3"/>
    <w:rsid w:val="002D3C7F"/>
    <w:rsid w:val="002D7801"/>
    <w:rsid w:val="00310E53"/>
    <w:rsid w:val="0031493A"/>
    <w:rsid w:val="00321394"/>
    <w:rsid w:val="003248CD"/>
    <w:rsid w:val="00333CFC"/>
    <w:rsid w:val="00345698"/>
    <w:rsid w:val="00363E59"/>
    <w:rsid w:val="00363F66"/>
    <w:rsid w:val="0037251F"/>
    <w:rsid w:val="00372A36"/>
    <w:rsid w:val="003758D1"/>
    <w:rsid w:val="003826B7"/>
    <w:rsid w:val="00382D12"/>
    <w:rsid w:val="00383904"/>
    <w:rsid w:val="003A4F2C"/>
    <w:rsid w:val="003B1B6D"/>
    <w:rsid w:val="003B501C"/>
    <w:rsid w:val="003B7E9D"/>
    <w:rsid w:val="003C6190"/>
    <w:rsid w:val="003D085D"/>
    <w:rsid w:val="003D6E1E"/>
    <w:rsid w:val="003D79FE"/>
    <w:rsid w:val="003E29F5"/>
    <w:rsid w:val="003E3459"/>
    <w:rsid w:val="003F17B2"/>
    <w:rsid w:val="00402725"/>
    <w:rsid w:val="00423F41"/>
    <w:rsid w:val="004269BD"/>
    <w:rsid w:val="004606A5"/>
    <w:rsid w:val="00462631"/>
    <w:rsid w:val="00490472"/>
    <w:rsid w:val="00491094"/>
    <w:rsid w:val="004A29EA"/>
    <w:rsid w:val="004B3B01"/>
    <w:rsid w:val="004B3FFC"/>
    <w:rsid w:val="004D52A3"/>
    <w:rsid w:val="004D5D0E"/>
    <w:rsid w:val="004E1A8E"/>
    <w:rsid w:val="004F07AC"/>
    <w:rsid w:val="0051464F"/>
    <w:rsid w:val="005148EE"/>
    <w:rsid w:val="00515A54"/>
    <w:rsid w:val="00523307"/>
    <w:rsid w:val="00530B98"/>
    <w:rsid w:val="005343E6"/>
    <w:rsid w:val="0053635D"/>
    <w:rsid w:val="00537912"/>
    <w:rsid w:val="00562833"/>
    <w:rsid w:val="00571040"/>
    <w:rsid w:val="00577E93"/>
    <w:rsid w:val="0059480E"/>
    <w:rsid w:val="005A0AF7"/>
    <w:rsid w:val="005B37EF"/>
    <w:rsid w:val="005F2423"/>
    <w:rsid w:val="006060DA"/>
    <w:rsid w:val="0061743D"/>
    <w:rsid w:val="00622B67"/>
    <w:rsid w:val="00624A51"/>
    <w:rsid w:val="006326B6"/>
    <w:rsid w:val="00634849"/>
    <w:rsid w:val="00635F62"/>
    <w:rsid w:val="00646182"/>
    <w:rsid w:val="006473E1"/>
    <w:rsid w:val="00652F33"/>
    <w:rsid w:val="00654DB2"/>
    <w:rsid w:val="00662104"/>
    <w:rsid w:val="00663383"/>
    <w:rsid w:val="00666A49"/>
    <w:rsid w:val="00687E59"/>
    <w:rsid w:val="00693683"/>
    <w:rsid w:val="006A1391"/>
    <w:rsid w:val="006A260B"/>
    <w:rsid w:val="006A4732"/>
    <w:rsid w:val="006A5BC1"/>
    <w:rsid w:val="006C2B9B"/>
    <w:rsid w:val="006C5D15"/>
    <w:rsid w:val="006D3A55"/>
    <w:rsid w:val="006E2452"/>
    <w:rsid w:val="006E2802"/>
    <w:rsid w:val="00701F32"/>
    <w:rsid w:val="007144D9"/>
    <w:rsid w:val="007207B5"/>
    <w:rsid w:val="0072285E"/>
    <w:rsid w:val="00722F49"/>
    <w:rsid w:val="00732CAE"/>
    <w:rsid w:val="0073313F"/>
    <w:rsid w:val="0073597D"/>
    <w:rsid w:val="0076538C"/>
    <w:rsid w:val="00766513"/>
    <w:rsid w:val="00780FD1"/>
    <w:rsid w:val="00790264"/>
    <w:rsid w:val="00792923"/>
    <w:rsid w:val="0079424E"/>
    <w:rsid w:val="007A6970"/>
    <w:rsid w:val="007C7B01"/>
    <w:rsid w:val="007E19E3"/>
    <w:rsid w:val="008069FC"/>
    <w:rsid w:val="00813A49"/>
    <w:rsid w:val="00825E24"/>
    <w:rsid w:val="00832058"/>
    <w:rsid w:val="008422D7"/>
    <w:rsid w:val="00843DE2"/>
    <w:rsid w:val="0085099E"/>
    <w:rsid w:val="008545AD"/>
    <w:rsid w:val="00854E96"/>
    <w:rsid w:val="00867A43"/>
    <w:rsid w:val="008718A2"/>
    <w:rsid w:val="00875BE1"/>
    <w:rsid w:val="00887E0A"/>
    <w:rsid w:val="00895E4A"/>
    <w:rsid w:val="008A2B2C"/>
    <w:rsid w:val="008B3392"/>
    <w:rsid w:val="008B4FDF"/>
    <w:rsid w:val="008B7117"/>
    <w:rsid w:val="008C4B14"/>
    <w:rsid w:val="008D051B"/>
    <w:rsid w:val="008D7139"/>
    <w:rsid w:val="008E2C9F"/>
    <w:rsid w:val="008F51DC"/>
    <w:rsid w:val="008F66EC"/>
    <w:rsid w:val="0090073F"/>
    <w:rsid w:val="00916100"/>
    <w:rsid w:val="00923BFE"/>
    <w:rsid w:val="00952D9B"/>
    <w:rsid w:val="009628D1"/>
    <w:rsid w:val="0096414B"/>
    <w:rsid w:val="009648FE"/>
    <w:rsid w:val="00971ABD"/>
    <w:rsid w:val="00983445"/>
    <w:rsid w:val="00984B0B"/>
    <w:rsid w:val="00985C80"/>
    <w:rsid w:val="009A097D"/>
    <w:rsid w:val="009A636D"/>
    <w:rsid w:val="009B1DE9"/>
    <w:rsid w:val="009B7D4E"/>
    <w:rsid w:val="009C4216"/>
    <w:rsid w:val="009C452B"/>
    <w:rsid w:val="009C45A7"/>
    <w:rsid w:val="009D24E5"/>
    <w:rsid w:val="009E7472"/>
    <w:rsid w:val="00A120C1"/>
    <w:rsid w:val="00A138A2"/>
    <w:rsid w:val="00A15A18"/>
    <w:rsid w:val="00A252B4"/>
    <w:rsid w:val="00A26785"/>
    <w:rsid w:val="00A27F08"/>
    <w:rsid w:val="00A34D1E"/>
    <w:rsid w:val="00A40961"/>
    <w:rsid w:val="00A42639"/>
    <w:rsid w:val="00A45253"/>
    <w:rsid w:val="00A6448F"/>
    <w:rsid w:val="00A658FE"/>
    <w:rsid w:val="00A669CA"/>
    <w:rsid w:val="00A73E9C"/>
    <w:rsid w:val="00A903F2"/>
    <w:rsid w:val="00AA6D2C"/>
    <w:rsid w:val="00AA794F"/>
    <w:rsid w:val="00AC1210"/>
    <w:rsid w:val="00AC12FD"/>
    <w:rsid w:val="00AC362F"/>
    <w:rsid w:val="00AE6293"/>
    <w:rsid w:val="00AE697D"/>
    <w:rsid w:val="00AF2827"/>
    <w:rsid w:val="00AF3FE7"/>
    <w:rsid w:val="00AF7078"/>
    <w:rsid w:val="00B00EB2"/>
    <w:rsid w:val="00B1135C"/>
    <w:rsid w:val="00B17278"/>
    <w:rsid w:val="00B42048"/>
    <w:rsid w:val="00B51A82"/>
    <w:rsid w:val="00B52F4F"/>
    <w:rsid w:val="00B666ED"/>
    <w:rsid w:val="00B76233"/>
    <w:rsid w:val="00B938E4"/>
    <w:rsid w:val="00B94A0D"/>
    <w:rsid w:val="00BA06D6"/>
    <w:rsid w:val="00BA5FBB"/>
    <w:rsid w:val="00BB6791"/>
    <w:rsid w:val="00BB6BAB"/>
    <w:rsid w:val="00BC4F2A"/>
    <w:rsid w:val="00BD5CBE"/>
    <w:rsid w:val="00BE2F97"/>
    <w:rsid w:val="00BF3E15"/>
    <w:rsid w:val="00C04942"/>
    <w:rsid w:val="00C10A89"/>
    <w:rsid w:val="00C17552"/>
    <w:rsid w:val="00C21C5E"/>
    <w:rsid w:val="00C2768A"/>
    <w:rsid w:val="00C307DE"/>
    <w:rsid w:val="00C32C22"/>
    <w:rsid w:val="00C364DA"/>
    <w:rsid w:val="00C5635E"/>
    <w:rsid w:val="00C62974"/>
    <w:rsid w:val="00C85B08"/>
    <w:rsid w:val="00C9697E"/>
    <w:rsid w:val="00CB1BDC"/>
    <w:rsid w:val="00CB35A9"/>
    <w:rsid w:val="00CC0BDE"/>
    <w:rsid w:val="00CC3E2C"/>
    <w:rsid w:val="00CE6B76"/>
    <w:rsid w:val="00CF654E"/>
    <w:rsid w:val="00CF6968"/>
    <w:rsid w:val="00CF6B09"/>
    <w:rsid w:val="00D03097"/>
    <w:rsid w:val="00D03A62"/>
    <w:rsid w:val="00D03E75"/>
    <w:rsid w:val="00D03FB3"/>
    <w:rsid w:val="00D05271"/>
    <w:rsid w:val="00D24203"/>
    <w:rsid w:val="00D24A19"/>
    <w:rsid w:val="00D25A92"/>
    <w:rsid w:val="00D27683"/>
    <w:rsid w:val="00D31151"/>
    <w:rsid w:val="00D34324"/>
    <w:rsid w:val="00D4177B"/>
    <w:rsid w:val="00D52569"/>
    <w:rsid w:val="00D568F4"/>
    <w:rsid w:val="00D6490C"/>
    <w:rsid w:val="00D6761D"/>
    <w:rsid w:val="00D71A57"/>
    <w:rsid w:val="00D73519"/>
    <w:rsid w:val="00D757FD"/>
    <w:rsid w:val="00D86525"/>
    <w:rsid w:val="00D8664C"/>
    <w:rsid w:val="00D87A53"/>
    <w:rsid w:val="00DA45D9"/>
    <w:rsid w:val="00DB168D"/>
    <w:rsid w:val="00DB2D10"/>
    <w:rsid w:val="00DB364D"/>
    <w:rsid w:val="00DB4E82"/>
    <w:rsid w:val="00DC4254"/>
    <w:rsid w:val="00DC64B2"/>
    <w:rsid w:val="00DC7BA9"/>
    <w:rsid w:val="00DD27C4"/>
    <w:rsid w:val="00DD3097"/>
    <w:rsid w:val="00DD3198"/>
    <w:rsid w:val="00DF646E"/>
    <w:rsid w:val="00DF7C2C"/>
    <w:rsid w:val="00E03BF0"/>
    <w:rsid w:val="00E10431"/>
    <w:rsid w:val="00E12BA7"/>
    <w:rsid w:val="00E13139"/>
    <w:rsid w:val="00E21FEC"/>
    <w:rsid w:val="00E25FD3"/>
    <w:rsid w:val="00E3422C"/>
    <w:rsid w:val="00E44951"/>
    <w:rsid w:val="00E4546A"/>
    <w:rsid w:val="00E50130"/>
    <w:rsid w:val="00E53DC1"/>
    <w:rsid w:val="00E754F8"/>
    <w:rsid w:val="00E831AF"/>
    <w:rsid w:val="00E870E0"/>
    <w:rsid w:val="00E91871"/>
    <w:rsid w:val="00E94BAB"/>
    <w:rsid w:val="00E9735C"/>
    <w:rsid w:val="00E97448"/>
    <w:rsid w:val="00EA27CB"/>
    <w:rsid w:val="00EB17AF"/>
    <w:rsid w:val="00EB4E5B"/>
    <w:rsid w:val="00ED2773"/>
    <w:rsid w:val="00ED29D0"/>
    <w:rsid w:val="00ED307E"/>
    <w:rsid w:val="00EF321F"/>
    <w:rsid w:val="00F002B6"/>
    <w:rsid w:val="00F02864"/>
    <w:rsid w:val="00F07AB7"/>
    <w:rsid w:val="00F07ABA"/>
    <w:rsid w:val="00F13963"/>
    <w:rsid w:val="00F14BA3"/>
    <w:rsid w:val="00F264BC"/>
    <w:rsid w:val="00F277D4"/>
    <w:rsid w:val="00F34884"/>
    <w:rsid w:val="00F34D62"/>
    <w:rsid w:val="00F37C97"/>
    <w:rsid w:val="00F41C48"/>
    <w:rsid w:val="00F46B64"/>
    <w:rsid w:val="00F55D3A"/>
    <w:rsid w:val="00F5790A"/>
    <w:rsid w:val="00F76E0F"/>
    <w:rsid w:val="00F83F7D"/>
    <w:rsid w:val="00F95F87"/>
    <w:rsid w:val="00FA1DBC"/>
    <w:rsid w:val="00FA5BDF"/>
    <w:rsid w:val="00FB4434"/>
    <w:rsid w:val="00FC07E8"/>
    <w:rsid w:val="00FD4B7B"/>
    <w:rsid w:val="00FE0CFF"/>
    <w:rsid w:val="00FF67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4D471"/>
  <w15:chartTrackingRefBased/>
  <w15:docId w15:val="{2FDCC74C-9F28-4919-B855-A4D7E81E2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207B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207B5"/>
  </w:style>
  <w:style w:type="paragraph" w:styleId="Piedepgina">
    <w:name w:val="footer"/>
    <w:basedOn w:val="Normal"/>
    <w:link w:val="PiedepginaCar"/>
    <w:uiPriority w:val="99"/>
    <w:unhideWhenUsed/>
    <w:rsid w:val="007207B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207B5"/>
  </w:style>
  <w:style w:type="paragraph" w:styleId="Prrafodelista">
    <w:name w:val="List Paragraph"/>
    <w:basedOn w:val="Normal"/>
    <w:uiPriority w:val="34"/>
    <w:qFormat/>
    <w:rsid w:val="001D1E8F"/>
    <w:pPr>
      <w:ind w:left="720"/>
      <w:contextualSpacing/>
    </w:pPr>
  </w:style>
  <w:style w:type="paragraph" w:customStyle="1" w:styleId="p1">
    <w:name w:val="p1"/>
    <w:basedOn w:val="Normal"/>
    <w:rsid w:val="001D60B2"/>
    <w:pPr>
      <w:spacing w:after="0" w:line="240" w:lineRule="auto"/>
    </w:pPr>
    <w:rPr>
      <w:rFonts w:ascii="Helvetica" w:eastAsiaTheme="minorEastAsia" w:hAnsi="Helvetica" w:cs="Times New Roman"/>
      <w:kern w:val="0"/>
      <w:sz w:val="18"/>
      <w:szCs w:val="18"/>
      <w:lang w:eastAsia="es-MX"/>
      <w14:ligatures w14:val="none"/>
    </w:rPr>
  </w:style>
  <w:style w:type="character" w:customStyle="1" w:styleId="s1">
    <w:name w:val="s1"/>
    <w:basedOn w:val="Fuentedeprrafopredeter"/>
    <w:rsid w:val="001D60B2"/>
    <w:rPr>
      <w:rFonts w:ascii="Helvetica" w:hAnsi="Helvetica" w:hint="default"/>
      <w:b w:val="0"/>
      <w:bCs w:val="0"/>
      <w:i w:val="0"/>
      <w:iCs w:val="0"/>
      <w:sz w:val="18"/>
      <w:szCs w:val="18"/>
    </w:rPr>
  </w:style>
  <w:style w:type="character" w:styleId="Hipervnculo">
    <w:name w:val="Hyperlink"/>
    <w:basedOn w:val="Fuentedeprrafopredeter"/>
    <w:uiPriority w:val="99"/>
    <w:unhideWhenUsed/>
    <w:rsid w:val="000E0A4A"/>
    <w:rPr>
      <w:color w:val="0563C1" w:themeColor="hyperlink"/>
      <w:u w:val="single"/>
    </w:rPr>
  </w:style>
  <w:style w:type="character" w:customStyle="1" w:styleId="Mencinsinresolver1">
    <w:name w:val="Mención sin resolver1"/>
    <w:basedOn w:val="Fuentedeprrafopredeter"/>
    <w:uiPriority w:val="99"/>
    <w:semiHidden/>
    <w:unhideWhenUsed/>
    <w:rsid w:val="000E0A4A"/>
    <w:rPr>
      <w:color w:val="605E5C"/>
      <w:shd w:val="clear" w:color="auto" w:fill="E1DFDD"/>
    </w:rPr>
  </w:style>
  <w:style w:type="paragraph" w:customStyle="1" w:styleId="Cuerpo">
    <w:name w:val="Cuerpo"/>
    <w:rsid w:val="0059480E"/>
    <w:pPr>
      <w:pBdr>
        <w:top w:val="nil"/>
        <w:left w:val="nil"/>
        <w:bottom w:val="nil"/>
        <w:right w:val="nil"/>
        <w:between w:val="nil"/>
        <w:bar w:val="nil"/>
      </w:pBdr>
    </w:pPr>
    <w:rPr>
      <w:rFonts w:ascii="Calibri" w:eastAsia="Arial Unicode MS" w:hAnsi="Calibri" w:cs="Arial Unicode MS"/>
      <w:color w:val="000000"/>
      <w:kern w:val="0"/>
      <w:u w:color="000000"/>
      <w:bdr w:val="nil"/>
      <w:lang w:eastAsia="es-MX"/>
      <w14:textOutline w14:w="0" w14:cap="flat" w14:cmpd="sng" w14:algn="ctr">
        <w14:noFill/>
        <w14:prstDash w14:val="solid"/>
        <w14:bevel/>
      </w14:textOutline>
      <w14:ligatures w14:val="none"/>
    </w:rPr>
  </w:style>
  <w:style w:type="character" w:customStyle="1" w:styleId="Ninguno">
    <w:name w:val="Ninguno"/>
    <w:rsid w:val="0059480E"/>
  </w:style>
  <w:style w:type="table" w:styleId="Tablaconcuadrcula">
    <w:name w:val="Table Grid"/>
    <w:basedOn w:val="Tablanormal"/>
    <w:uiPriority w:val="39"/>
    <w:rsid w:val="00DC7B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CF654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F654E"/>
    <w:rPr>
      <w:sz w:val="20"/>
      <w:szCs w:val="20"/>
    </w:rPr>
  </w:style>
  <w:style w:type="character" w:styleId="Refdenotaalpie">
    <w:name w:val="footnote reference"/>
    <w:basedOn w:val="Fuentedeprrafopredeter"/>
    <w:uiPriority w:val="99"/>
    <w:semiHidden/>
    <w:unhideWhenUsed/>
    <w:rsid w:val="00CF65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63439">
      <w:bodyDiv w:val="1"/>
      <w:marLeft w:val="0"/>
      <w:marRight w:val="0"/>
      <w:marTop w:val="0"/>
      <w:marBottom w:val="0"/>
      <w:divBdr>
        <w:top w:val="none" w:sz="0" w:space="0" w:color="auto"/>
        <w:left w:val="none" w:sz="0" w:space="0" w:color="auto"/>
        <w:bottom w:val="none" w:sz="0" w:space="0" w:color="auto"/>
        <w:right w:val="none" w:sz="0" w:space="0" w:color="auto"/>
      </w:divBdr>
    </w:div>
    <w:div w:id="235016431">
      <w:bodyDiv w:val="1"/>
      <w:marLeft w:val="0"/>
      <w:marRight w:val="0"/>
      <w:marTop w:val="0"/>
      <w:marBottom w:val="0"/>
      <w:divBdr>
        <w:top w:val="none" w:sz="0" w:space="0" w:color="auto"/>
        <w:left w:val="none" w:sz="0" w:space="0" w:color="auto"/>
        <w:bottom w:val="none" w:sz="0" w:space="0" w:color="auto"/>
        <w:right w:val="none" w:sz="0" w:space="0" w:color="auto"/>
      </w:divBdr>
    </w:div>
    <w:div w:id="259725941">
      <w:bodyDiv w:val="1"/>
      <w:marLeft w:val="0"/>
      <w:marRight w:val="0"/>
      <w:marTop w:val="0"/>
      <w:marBottom w:val="0"/>
      <w:divBdr>
        <w:top w:val="none" w:sz="0" w:space="0" w:color="auto"/>
        <w:left w:val="none" w:sz="0" w:space="0" w:color="auto"/>
        <w:bottom w:val="none" w:sz="0" w:space="0" w:color="auto"/>
        <w:right w:val="none" w:sz="0" w:space="0" w:color="auto"/>
      </w:divBdr>
    </w:div>
    <w:div w:id="262299773">
      <w:bodyDiv w:val="1"/>
      <w:marLeft w:val="0"/>
      <w:marRight w:val="0"/>
      <w:marTop w:val="0"/>
      <w:marBottom w:val="0"/>
      <w:divBdr>
        <w:top w:val="none" w:sz="0" w:space="0" w:color="auto"/>
        <w:left w:val="none" w:sz="0" w:space="0" w:color="auto"/>
        <w:bottom w:val="none" w:sz="0" w:space="0" w:color="auto"/>
        <w:right w:val="none" w:sz="0" w:space="0" w:color="auto"/>
      </w:divBdr>
    </w:div>
    <w:div w:id="479733470">
      <w:bodyDiv w:val="1"/>
      <w:marLeft w:val="0"/>
      <w:marRight w:val="0"/>
      <w:marTop w:val="0"/>
      <w:marBottom w:val="0"/>
      <w:divBdr>
        <w:top w:val="none" w:sz="0" w:space="0" w:color="auto"/>
        <w:left w:val="none" w:sz="0" w:space="0" w:color="auto"/>
        <w:bottom w:val="none" w:sz="0" w:space="0" w:color="auto"/>
        <w:right w:val="none" w:sz="0" w:space="0" w:color="auto"/>
      </w:divBdr>
    </w:div>
    <w:div w:id="493959562">
      <w:bodyDiv w:val="1"/>
      <w:marLeft w:val="0"/>
      <w:marRight w:val="0"/>
      <w:marTop w:val="0"/>
      <w:marBottom w:val="0"/>
      <w:divBdr>
        <w:top w:val="none" w:sz="0" w:space="0" w:color="auto"/>
        <w:left w:val="none" w:sz="0" w:space="0" w:color="auto"/>
        <w:bottom w:val="none" w:sz="0" w:space="0" w:color="auto"/>
        <w:right w:val="none" w:sz="0" w:space="0" w:color="auto"/>
      </w:divBdr>
    </w:div>
    <w:div w:id="502359516">
      <w:bodyDiv w:val="1"/>
      <w:marLeft w:val="0"/>
      <w:marRight w:val="0"/>
      <w:marTop w:val="0"/>
      <w:marBottom w:val="0"/>
      <w:divBdr>
        <w:top w:val="none" w:sz="0" w:space="0" w:color="auto"/>
        <w:left w:val="none" w:sz="0" w:space="0" w:color="auto"/>
        <w:bottom w:val="none" w:sz="0" w:space="0" w:color="auto"/>
        <w:right w:val="none" w:sz="0" w:space="0" w:color="auto"/>
      </w:divBdr>
    </w:div>
    <w:div w:id="615602768">
      <w:bodyDiv w:val="1"/>
      <w:marLeft w:val="0"/>
      <w:marRight w:val="0"/>
      <w:marTop w:val="0"/>
      <w:marBottom w:val="0"/>
      <w:divBdr>
        <w:top w:val="none" w:sz="0" w:space="0" w:color="auto"/>
        <w:left w:val="none" w:sz="0" w:space="0" w:color="auto"/>
        <w:bottom w:val="none" w:sz="0" w:space="0" w:color="auto"/>
        <w:right w:val="none" w:sz="0" w:space="0" w:color="auto"/>
      </w:divBdr>
    </w:div>
    <w:div w:id="854878936">
      <w:bodyDiv w:val="1"/>
      <w:marLeft w:val="0"/>
      <w:marRight w:val="0"/>
      <w:marTop w:val="0"/>
      <w:marBottom w:val="0"/>
      <w:divBdr>
        <w:top w:val="none" w:sz="0" w:space="0" w:color="auto"/>
        <w:left w:val="none" w:sz="0" w:space="0" w:color="auto"/>
        <w:bottom w:val="none" w:sz="0" w:space="0" w:color="auto"/>
        <w:right w:val="none" w:sz="0" w:space="0" w:color="auto"/>
      </w:divBdr>
    </w:div>
    <w:div w:id="921108630">
      <w:bodyDiv w:val="1"/>
      <w:marLeft w:val="0"/>
      <w:marRight w:val="0"/>
      <w:marTop w:val="0"/>
      <w:marBottom w:val="0"/>
      <w:divBdr>
        <w:top w:val="none" w:sz="0" w:space="0" w:color="auto"/>
        <w:left w:val="none" w:sz="0" w:space="0" w:color="auto"/>
        <w:bottom w:val="none" w:sz="0" w:space="0" w:color="auto"/>
        <w:right w:val="none" w:sz="0" w:space="0" w:color="auto"/>
      </w:divBdr>
    </w:div>
    <w:div w:id="1066804394">
      <w:bodyDiv w:val="1"/>
      <w:marLeft w:val="0"/>
      <w:marRight w:val="0"/>
      <w:marTop w:val="0"/>
      <w:marBottom w:val="0"/>
      <w:divBdr>
        <w:top w:val="none" w:sz="0" w:space="0" w:color="auto"/>
        <w:left w:val="none" w:sz="0" w:space="0" w:color="auto"/>
        <w:bottom w:val="none" w:sz="0" w:space="0" w:color="auto"/>
        <w:right w:val="none" w:sz="0" w:space="0" w:color="auto"/>
      </w:divBdr>
      <w:divsChild>
        <w:div w:id="364909224">
          <w:marLeft w:val="0"/>
          <w:marRight w:val="0"/>
          <w:marTop w:val="0"/>
          <w:marBottom w:val="0"/>
          <w:divBdr>
            <w:top w:val="none" w:sz="0" w:space="0" w:color="auto"/>
            <w:left w:val="none" w:sz="0" w:space="0" w:color="auto"/>
            <w:bottom w:val="none" w:sz="0" w:space="0" w:color="auto"/>
            <w:right w:val="none" w:sz="0" w:space="0" w:color="auto"/>
          </w:divBdr>
          <w:divsChild>
            <w:div w:id="70025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00003">
      <w:bodyDiv w:val="1"/>
      <w:marLeft w:val="0"/>
      <w:marRight w:val="0"/>
      <w:marTop w:val="0"/>
      <w:marBottom w:val="0"/>
      <w:divBdr>
        <w:top w:val="none" w:sz="0" w:space="0" w:color="auto"/>
        <w:left w:val="none" w:sz="0" w:space="0" w:color="auto"/>
        <w:bottom w:val="none" w:sz="0" w:space="0" w:color="auto"/>
        <w:right w:val="none" w:sz="0" w:space="0" w:color="auto"/>
      </w:divBdr>
    </w:div>
    <w:div w:id="1120494052">
      <w:bodyDiv w:val="1"/>
      <w:marLeft w:val="0"/>
      <w:marRight w:val="0"/>
      <w:marTop w:val="0"/>
      <w:marBottom w:val="0"/>
      <w:divBdr>
        <w:top w:val="none" w:sz="0" w:space="0" w:color="auto"/>
        <w:left w:val="none" w:sz="0" w:space="0" w:color="auto"/>
        <w:bottom w:val="none" w:sz="0" w:space="0" w:color="auto"/>
        <w:right w:val="none" w:sz="0" w:space="0" w:color="auto"/>
      </w:divBdr>
    </w:div>
    <w:div w:id="1134712250">
      <w:bodyDiv w:val="1"/>
      <w:marLeft w:val="0"/>
      <w:marRight w:val="0"/>
      <w:marTop w:val="0"/>
      <w:marBottom w:val="0"/>
      <w:divBdr>
        <w:top w:val="none" w:sz="0" w:space="0" w:color="auto"/>
        <w:left w:val="none" w:sz="0" w:space="0" w:color="auto"/>
        <w:bottom w:val="none" w:sz="0" w:space="0" w:color="auto"/>
        <w:right w:val="none" w:sz="0" w:space="0" w:color="auto"/>
      </w:divBdr>
    </w:div>
    <w:div w:id="1188527220">
      <w:bodyDiv w:val="1"/>
      <w:marLeft w:val="0"/>
      <w:marRight w:val="0"/>
      <w:marTop w:val="0"/>
      <w:marBottom w:val="0"/>
      <w:divBdr>
        <w:top w:val="none" w:sz="0" w:space="0" w:color="auto"/>
        <w:left w:val="none" w:sz="0" w:space="0" w:color="auto"/>
        <w:bottom w:val="none" w:sz="0" w:space="0" w:color="auto"/>
        <w:right w:val="none" w:sz="0" w:space="0" w:color="auto"/>
      </w:divBdr>
      <w:divsChild>
        <w:div w:id="376781503">
          <w:marLeft w:val="0"/>
          <w:marRight w:val="0"/>
          <w:marTop w:val="0"/>
          <w:marBottom w:val="0"/>
          <w:divBdr>
            <w:top w:val="none" w:sz="0" w:space="0" w:color="auto"/>
            <w:left w:val="none" w:sz="0" w:space="0" w:color="auto"/>
            <w:bottom w:val="none" w:sz="0" w:space="0" w:color="auto"/>
            <w:right w:val="none" w:sz="0" w:space="0" w:color="auto"/>
          </w:divBdr>
          <w:divsChild>
            <w:div w:id="154567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732272">
      <w:bodyDiv w:val="1"/>
      <w:marLeft w:val="0"/>
      <w:marRight w:val="0"/>
      <w:marTop w:val="0"/>
      <w:marBottom w:val="0"/>
      <w:divBdr>
        <w:top w:val="none" w:sz="0" w:space="0" w:color="auto"/>
        <w:left w:val="none" w:sz="0" w:space="0" w:color="auto"/>
        <w:bottom w:val="none" w:sz="0" w:space="0" w:color="auto"/>
        <w:right w:val="none" w:sz="0" w:space="0" w:color="auto"/>
      </w:divBdr>
    </w:div>
    <w:div w:id="1432503979">
      <w:bodyDiv w:val="1"/>
      <w:marLeft w:val="0"/>
      <w:marRight w:val="0"/>
      <w:marTop w:val="0"/>
      <w:marBottom w:val="0"/>
      <w:divBdr>
        <w:top w:val="none" w:sz="0" w:space="0" w:color="auto"/>
        <w:left w:val="none" w:sz="0" w:space="0" w:color="auto"/>
        <w:bottom w:val="none" w:sz="0" w:space="0" w:color="auto"/>
        <w:right w:val="none" w:sz="0" w:space="0" w:color="auto"/>
      </w:divBdr>
    </w:div>
    <w:div w:id="1524368679">
      <w:bodyDiv w:val="1"/>
      <w:marLeft w:val="0"/>
      <w:marRight w:val="0"/>
      <w:marTop w:val="0"/>
      <w:marBottom w:val="0"/>
      <w:divBdr>
        <w:top w:val="none" w:sz="0" w:space="0" w:color="auto"/>
        <w:left w:val="none" w:sz="0" w:space="0" w:color="auto"/>
        <w:bottom w:val="none" w:sz="0" w:space="0" w:color="auto"/>
        <w:right w:val="none" w:sz="0" w:space="0" w:color="auto"/>
      </w:divBdr>
    </w:div>
    <w:div w:id="161594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F3244-9421-42FA-AD27-2E19C0C27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2212</Words>
  <Characters>12166</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Supervisor</dc:creator>
  <cp:keywords/>
  <dc:description/>
  <cp:lastModifiedBy>Jurídico Office</cp:lastModifiedBy>
  <cp:revision>3</cp:revision>
  <cp:lastPrinted>2024-11-11T02:41:00Z</cp:lastPrinted>
  <dcterms:created xsi:type="dcterms:W3CDTF">2026-07-29T18:28:00Z</dcterms:created>
  <dcterms:modified xsi:type="dcterms:W3CDTF">2026-08-21T17:20:00Z</dcterms:modified>
</cp:coreProperties>
</file>